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9887" w14:textId="77777777" w:rsidR="007163C0" w:rsidRPr="0053552B" w:rsidRDefault="007163C0">
      <w:pPr>
        <w:rPr>
          <w:rFonts w:ascii="Verdana" w:hAnsi="Verdana"/>
          <w:sz w:val="24"/>
          <w:szCs w:val="24"/>
        </w:rPr>
      </w:pPr>
    </w:p>
    <w:p w14:paraId="4B09396C" w14:textId="77777777" w:rsidR="0053552B" w:rsidRPr="0053552B" w:rsidRDefault="0053552B">
      <w:pPr>
        <w:rPr>
          <w:rFonts w:ascii="Verdana" w:hAnsi="Verdana"/>
          <w:sz w:val="24"/>
          <w:szCs w:val="24"/>
        </w:rPr>
      </w:pPr>
    </w:p>
    <w:p w14:paraId="052D861A" w14:textId="691B5D7D" w:rsidR="0053552B" w:rsidRPr="00897CAC" w:rsidRDefault="0053552B">
      <w:pPr>
        <w:rPr>
          <w:rFonts w:ascii="Verdana" w:hAnsi="Verdana"/>
          <w:b/>
          <w:bCs/>
          <w:sz w:val="24"/>
          <w:szCs w:val="24"/>
        </w:rPr>
      </w:pPr>
      <w:r w:rsidRPr="00897CAC">
        <w:rPr>
          <w:rFonts w:ascii="Verdana" w:hAnsi="Verdana"/>
          <w:b/>
          <w:bCs/>
          <w:sz w:val="24"/>
          <w:szCs w:val="24"/>
        </w:rPr>
        <w:t xml:space="preserve">  Fourth quarter and year end results from Company website 2023</w:t>
      </w:r>
    </w:p>
    <w:p w14:paraId="47C07626" w14:textId="77777777" w:rsidR="0053552B" w:rsidRPr="0053552B" w:rsidRDefault="0053552B">
      <w:pPr>
        <w:rPr>
          <w:rFonts w:ascii="Verdana" w:hAnsi="Verdana"/>
          <w:sz w:val="24"/>
          <w:szCs w:val="24"/>
        </w:rPr>
      </w:pPr>
    </w:p>
    <w:p w14:paraId="0E98BB8F" w14:textId="77777777" w:rsidR="0053552B" w:rsidRPr="00897CAC" w:rsidRDefault="0053552B" w:rsidP="0053552B">
      <w:pPr>
        <w:shd w:val="clear" w:color="auto" w:fill="FFFFFF"/>
        <w:spacing w:before="100" w:beforeAutospacing="1" w:after="100" w:afterAutospacing="1" w:line="240" w:lineRule="auto"/>
        <w:outlineLvl w:val="0"/>
        <w:rPr>
          <w:rFonts w:ascii="Verdana" w:eastAsia="Times New Roman" w:hAnsi="Verdana" w:cs="Times New Roman"/>
          <w:b/>
          <w:bCs/>
          <w:color w:val="0A0A0A"/>
          <w:kern w:val="36"/>
          <w:sz w:val="24"/>
          <w:szCs w:val="24"/>
          <w:u w:val="single"/>
          <w14:ligatures w14:val="none"/>
        </w:rPr>
      </w:pPr>
      <w:r w:rsidRPr="00897CAC">
        <w:rPr>
          <w:rFonts w:ascii="Verdana" w:eastAsia="Times New Roman" w:hAnsi="Verdana" w:cs="Times New Roman"/>
          <w:b/>
          <w:bCs/>
          <w:color w:val="0A0A0A"/>
          <w:kern w:val="36"/>
          <w:sz w:val="24"/>
          <w:szCs w:val="24"/>
          <w:u w:val="single"/>
          <w14:ligatures w14:val="none"/>
        </w:rPr>
        <w:t>Gentex Reports Fourth Quarter and Year End 2023 Financial Results</w:t>
      </w:r>
    </w:p>
    <w:p w14:paraId="14601EAA" w14:textId="77777777" w:rsidR="0053552B" w:rsidRPr="0053552B" w:rsidRDefault="0053552B" w:rsidP="0053552B">
      <w:pPr>
        <w:shd w:val="clear" w:color="auto" w:fill="FFFFFF"/>
        <w:spacing w:after="0"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Jan 26, 2024</w:t>
      </w:r>
    </w:p>
    <w:p w14:paraId="46851EB3" w14:textId="77777777" w:rsidR="0053552B" w:rsidRPr="0053552B" w:rsidRDefault="00000000" w:rsidP="0053552B">
      <w:pPr>
        <w:shd w:val="clear" w:color="auto" w:fill="FFFFFF"/>
        <w:spacing w:line="240" w:lineRule="auto"/>
        <w:rPr>
          <w:rFonts w:ascii="Verdana" w:eastAsia="Times New Roman" w:hAnsi="Verdana" w:cs="Times New Roman"/>
          <w:color w:val="0A0A0A"/>
          <w:kern w:val="0"/>
          <w:sz w:val="24"/>
          <w:szCs w:val="24"/>
          <w14:ligatures w14:val="none"/>
        </w:rPr>
      </w:pPr>
      <w:hyperlink r:id="rId5" w:tgtFrame="_blank" w:history="1">
        <w:r w:rsidR="0053552B" w:rsidRPr="0053552B">
          <w:rPr>
            <w:rFonts w:ascii="Verdana" w:eastAsia="Times New Roman" w:hAnsi="Verdana" w:cs="Times New Roman"/>
            <w:color w:val="4C4C4C"/>
            <w:kern w:val="0"/>
            <w:sz w:val="24"/>
            <w:szCs w:val="24"/>
            <w14:ligatures w14:val="none"/>
          </w:rPr>
          <w:t>PDF Version</w:t>
        </w:r>
      </w:hyperlink>
    </w:p>
    <w:p w14:paraId="7BF782AE" w14:textId="77777777" w:rsidR="0053552B" w:rsidRPr="00897CAC" w:rsidRDefault="0053552B" w:rsidP="0053552B">
      <w:pPr>
        <w:shd w:val="clear" w:color="auto" w:fill="FFFFFF"/>
        <w:spacing w:before="100" w:beforeAutospacing="1" w:after="100" w:afterAutospacing="1" w:line="240" w:lineRule="auto"/>
        <w:rPr>
          <w:rFonts w:ascii="Verdana" w:eastAsia="Times New Roman" w:hAnsi="Verdana" w:cs="Times New Roman"/>
          <w:b/>
          <w:bCs/>
          <w:color w:val="0A0A0A"/>
          <w:kern w:val="0"/>
          <w:sz w:val="24"/>
          <w:szCs w:val="24"/>
          <w14:ligatures w14:val="none"/>
        </w:rPr>
      </w:pPr>
      <w:r w:rsidRPr="00897CAC">
        <w:rPr>
          <w:rFonts w:ascii="Verdana" w:eastAsia="Times New Roman" w:hAnsi="Verdana" w:cs="Times New Roman"/>
          <w:b/>
          <w:bCs/>
          <w:color w:val="0A0A0A"/>
          <w:kern w:val="0"/>
          <w:sz w:val="24"/>
          <w:szCs w:val="24"/>
          <w14:ligatures w14:val="none"/>
        </w:rPr>
        <w:t xml:space="preserve">ZEELAND, Mich., Jan. 26, 2024 (GLOBE NEWSWIRE) -- Gentex Corporation (NASDAQ: GNTX), a leading supplier of digital vision, connected car, dimmable </w:t>
      </w:r>
      <w:proofErr w:type="gramStart"/>
      <w:r w:rsidRPr="00897CAC">
        <w:rPr>
          <w:rFonts w:ascii="Verdana" w:eastAsia="Times New Roman" w:hAnsi="Verdana" w:cs="Times New Roman"/>
          <w:b/>
          <w:bCs/>
          <w:color w:val="0A0A0A"/>
          <w:kern w:val="0"/>
          <w:sz w:val="24"/>
          <w:szCs w:val="24"/>
          <w14:ligatures w14:val="none"/>
        </w:rPr>
        <w:t>glass</w:t>
      </w:r>
      <w:proofErr w:type="gramEnd"/>
      <w:r w:rsidRPr="00897CAC">
        <w:rPr>
          <w:rFonts w:ascii="Verdana" w:eastAsia="Times New Roman" w:hAnsi="Verdana" w:cs="Times New Roman"/>
          <w:b/>
          <w:bCs/>
          <w:color w:val="0A0A0A"/>
          <w:kern w:val="0"/>
          <w:sz w:val="24"/>
          <w:szCs w:val="24"/>
          <w14:ligatures w14:val="none"/>
        </w:rPr>
        <w:t xml:space="preserve"> and fire protection technologies, today reported financial results for the fourth quarter and calendar year ended December 31, 2023.</w:t>
      </w:r>
    </w:p>
    <w:p w14:paraId="615D3C41"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Fourth Quarter and Calendar Year 2023 Highlights:</w:t>
      </w:r>
    </w:p>
    <w:p w14:paraId="50DD6AF2" w14:textId="77777777" w:rsidR="0053552B" w:rsidRPr="0053552B" w:rsidRDefault="0053552B" w:rsidP="0053552B">
      <w:pPr>
        <w:numPr>
          <w:ilvl w:val="0"/>
          <w:numId w:val="1"/>
        </w:numPr>
        <w:shd w:val="clear" w:color="auto" w:fill="FFFFFF"/>
        <w:spacing w:after="0" w:line="240" w:lineRule="auto"/>
        <w:ind w:left="102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Fourth Quarter 2023</w:t>
      </w:r>
    </w:p>
    <w:p w14:paraId="595C9DE1" w14:textId="77777777" w:rsidR="0053552B" w:rsidRPr="0053552B" w:rsidRDefault="0053552B" w:rsidP="0053552B">
      <w:pPr>
        <w:numPr>
          <w:ilvl w:val="1"/>
          <w:numId w:val="2"/>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Net sales of $589.1 million, a new quarterly sales record, and a 19% increase compared to the fourth quarter of </w:t>
      </w:r>
      <w:proofErr w:type="gramStart"/>
      <w:r w:rsidRPr="0053552B">
        <w:rPr>
          <w:rFonts w:ascii="Verdana" w:eastAsia="Times New Roman" w:hAnsi="Verdana" w:cs="Times New Roman"/>
          <w:b/>
          <w:bCs/>
          <w:color w:val="0A0A0A"/>
          <w:kern w:val="0"/>
          <w:sz w:val="24"/>
          <w:szCs w:val="24"/>
          <w14:ligatures w14:val="none"/>
        </w:rPr>
        <w:t>2022</w:t>
      </w:r>
      <w:proofErr w:type="gramEnd"/>
    </w:p>
    <w:p w14:paraId="5121A404" w14:textId="77777777" w:rsidR="0053552B" w:rsidRPr="0053552B" w:rsidRDefault="0053552B" w:rsidP="0053552B">
      <w:pPr>
        <w:numPr>
          <w:ilvl w:val="1"/>
          <w:numId w:val="3"/>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Gross profit margin of 34.5%, a </w:t>
      </w:r>
      <w:proofErr w:type="gramStart"/>
      <w:r w:rsidRPr="0053552B">
        <w:rPr>
          <w:rFonts w:ascii="Verdana" w:eastAsia="Times New Roman" w:hAnsi="Verdana" w:cs="Times New Roman"/>
          <w:b/>
          <w:bCs/>
          <w:color w:val="0A0A0A"/>
          <w:kern w:val="0"/>
          <w:sz w:val="24"/>
          <w:szCs w:val="24"/>
          <w14:ligatures w14:val="none"/>
        </w:rPr>
        <w:t>330 basis</w:t>
      </w:r>
      <w:proofErr w:type="gramEnd"/>
      <w:r w:rsidRPr="0053552B">
        <w:rPr>
          <w:rFonts w:ascii="Verdana" w:eastAsia="Times New Roman" w:hAnsi="Verdana" w:cs="Times New Roman"/>
          <w:b/>
          <w:bCs/>
          <w:color w:val="0A0A0A"/>
          <w:kern w:val="0"/>
          <w:sz w:val="24"/>
          <w:szCs w:val="24"/>
          <w14:ligatures w14:val="none"/>
        </w:rPr>
        <w:t xml:space="preserve"> point improvement compared to the fourth quarter of 2022</w:t>
      </w:r>
    </w:p>
    <w:p w14:paraId="129E2125" w14:textId="77777777" w:rsidR="0053552B" w:rsidRPr="0053552B" w:rsidRDefault="0053552B" w:rsidP="0053552B">
      <w:pPr>
        <w:numPr>
          <w:ilvl w:val="1"/>
          <w:numId w:val="4"/>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Income from operations of $132.8 million, a 41% increase compared to the fourth quarter of </w:t>
      </w:r>
      <w:proofErr w:type="gramStart"/>
      <w:r w:rsidRPr="0053552B">
        <w:rPr>
          <w:rFonts w:ascii="Verdana" w:eastAsia="Times New Roman" w:hAnsi="Verdana" w:cs="Times New Roman"/>
          <w:b/>
          <w:bCs/>
          <w:color w:val="0A0A0A"/>
          <w:kern w:val="0"/>
          <w:sz w:val="24"/>
          <w:szCs w:val="24"/>
          <w14:ligatures w14:val="none"/>
        </w:rPr>
        <w:t>2022</w:t>
      </w:r>
      <w:proofErr w:type="gramEnd"/>
    </w:p>
    <w:p w14:paraId="576A4D4D" w14:textId="77777777" w:rsidR="0053552B" w:rsidRPr="0053552B" w:rsidRDefault="0053552B" w:rsidP="0053552B">
      <w:pPr>
        <w:numPr>
          <w:ilvl w:val="1"/>
          <w:numId w:val="5"/>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Net income of $116.9 million, a 36% increase compared to the fourth quarter of </w:t>
      </w:r>
      <w:proofErr w:type="gramStart"/>
      <w:r w:rsidRPr="0053552B">
        <w:rPr>
          <w:rFonts w:ascii="Verdana" w:eastAsia="Times New Roman" w:hAnsi="Verdana" w:cs="Times New Roman"/>
          <w:b/>
          <w:bCs/>
          <w:color w:val="0A0A0A"/>
          <w:kern w:val="0"/>
          <w:sz w:val="24"/>
          <w:szCs w:val="24"/>
          <w14:ligatures w14:val="none"/>
        </w:rPr>
        <w:t>2022</w:t>
      </w:r>
      <w:proofErr w:type="gramEnd"/>
    </w:p>
    <w:p w14:paraId="24245A0B" w14:textId="77777777" w:rsidR="0053552B" w:rsidRPr="0053552B" w:rsidRDefault="0053552B" w:rsidP="0053552B">
      <w:pPr>
        <w:numPr>
          <w:ilvl w:val="1"/>
          <w:numId w:val="6"/>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Earnings per diluted share of $0.50, a 35% increase compared to the fourth quarter of </w:t>
      </w:r>
      <w:proofErr w:type="gramStart"/>
      <w:r w:rsidRPr="0053552B">
        <w:rPr>
          <w:rFonts w:ascii="Verdana" w:eastAsia="Times New Roman" w:hAnsi="Verdana" w:cs="Times New Roman"/>
          <w:b/>
          <w:bCs/>
          <w:color w:val="0A0A0A"/>
          <w:kern w:val="0"/>
          <w:sz w:val="24"/>
          <w:szCs w:val="24"/>
          <w14:ligatures w14:val="none"/>
        </w:rPr>
        <w:t>2022</w:t>
      </w:r>
      <w:proofErr w:type="gramEnd"/>
    </w:p>
    <w:p w14:paraId="219F0E06" w14:textId="77777777" w:rsidR="0053552B" w:rsidRPr="0053552B" w:rsidRDefault="0053552B" w:rsidP="0053552B">
      <w:pPr>
        <w:numPr>
          <w:ilvl w:val="0"/>
          <w:numId w:val="1"/>
        </w:numPr>
        <w:shd w:val="clear" w:color="auto" w:fill="FFFFFF"/>
        <w:spacing w:after="0" w:line="240" w:lineRule="auto"/>
        <w:ind w:left="102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Calendar Year 2023</w:t>
      </w:r>
    </w:p>
    <w:p w14:paraId="6DE9AE3B" w14:textId="77777777" w:rsidR="0053552B" w:rsidRPr="0053552B" w:rsidRDefault="0053552B" w:rsidP="0053552B">
      <w:pPr>
        <w:numPr>
          <w:ilvl w:val="1"/>
          <w:numId w:val="7"/>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Net sales of $2.30 billion, a new annual sales record, and a 20%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38CDF429" w14:textId="77777777" w:rsidR="0053552B" w:rsidRPr="0053552B" w:rsidRDefault="0053552B" w:rsidP="0053552B">
      <w:pPr>
        <w:numPr>
          <w:ilvl w:val="1"/>
          <w:numId w:val="8"/>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Gross profit margin of 33.2%, a </w:t>
      </w:r>
      <w:proofErr w:type="gramStart"/>
      <w:r w:rsidRPr="0053552B">
        <w:rPr>
          <w:rFonts w:ascii="Verdana" w:eastAsia="Times New Roman" w:hAnsi="Verdana" w:cs="Times New Roman"/>
          <w:b/>
          <w:bCs/>
          <w:color w:val="0A0A0A"/>
          <w:kern w:val="0"/>
          <w:sz w:val="24"/>
          <w:szCs w:val="24"/>
          <w14:ligatures w14:val="none"/>
        </w:rPr>
        <w:t>140 basis</w:t>
      </w:r>
      <w:proofErr w:type="gramEnd"/>
      <w:r w:rsidRPr="0053552B">
        <w:rPr>
          <w:rFonts w:ascii="Verdana" w:eastAsia="Times New Roman" w:hAnsi="Verdana" w:cs="Times New Roman"/>
          <w:b/>
          <w:bCs/>
          <w:color w:val="0A0A0A"/>
          <w:kern w:val="0"/>
          <w:sz w:val="24"/>
          <w:szCs w:val="24"/>
          <w14:ligatures w14:val="none"/>
        </w:rPr>
        <w:t xml:space="preserve"> point improvement as compared to calendar year 2022</w:t>
      </w:r>
    </w:p>
    <w:p w14:paraId="501CA3EF" w14:textId="77777777" w:rsidR="0053552B" w:rsidRPr="0053552B" w:rsidRDefault="0053552B" w:rsidP="0053552B">
      <w:pPr>
        <w:numPr>
          <w:ilvl w:val="1"/>
          <w:numId w:val="9"/>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Income from operations of $495.7 million, a 34%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75C9D5E6" w14:textId="77777777" w:rsidR="0053552B" w:rsidRPr="0053552B" w:rsidRDefault="0053552B" w:rsidP="0053552B">
      <w:pPr>
        <w:numPr>
          <w:ilvl w:val="1"/>
          <w:numId w:val="10"/>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Net income of $428.4 million, a 34%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5B1FBCBC" w14:textId="77777777" w:rsidR="0053552B" w:rsidRPr="0053552B" w:rsidRDefault="0053552B" w:rsidP="0053552B">
      <w:pPr>
        <w:numPr>
          <w:ilvl w:val="1"/>
          <w:numId w:val="11"/>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Earnings per diluted share of $1.84, a 35%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6B984C97" w14:textId="77777777" w:rsidR="0053552B" w:rsidRPr="0053552B" w:rsidRDefault="0053552B" w:rsidP="0053552B">
      <w:pPr>
        <w:numPr>
          <w:ilvl w:val="1"/>
          <w:numId w:val="12"/>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Full Display Mirror</w:t>
      </w:r>
      <w:r w:rsidRPr="0053552B">
        <w:rPr>
          <w:rFonts w:ascii="Verdana" w:eastAsia="Times New Roman" w:hAnsi="Verdana" w:cs="Times New Roman"/>
          <w:b/>
          <w:bCs/>
          <w:color w:val="0A0A0A"/>
          <w:kern w:val="0"/>
          <w:sz w:val="24"/>
          <w:szCs w:val="24"/>
          <w:vertAlign w:val="superscript"/>
          <w14:ligatures w14:val="none"/>
        </w:rPr>
        <w:t>®</w:t>
      </w:r>
      <w:r w:rsidRPr="0053552B">
        <w:rPr>
          <w:rFonts w:ascii="Verdana" w:eastAsia="Times New Roman" w:hAnsi="Verdana" w:cs="Times New Roman"/>
          <w:b/>
          <w:bCs/>
          <w:color w:val="0A0A0A"/>
          <w:kern w:val="0"/>
          <w:sz w:val="24"/>
          <w:szCs w:val="24"/>
          <w14:ligatures w14:val="none"/>
        </w:rPr>
        <w:t xml:space="preserve"> ("FDM") shipments of 2.44 million units, a 45%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4CBF23F5" w14:textId="77777777" w:rsidR="0053552B" w:rsidRPr="0053552B" w:rsidRDefault="0053552B" w:rsidP="0053552B">
      <w:pPr>
        <w:numPr>
          <w:ilvl w:val="1"/>
          <w:numId w:val="13"/>
        </w:numPr>
        <w:shd w:val="clear" w:color="auto" w:fill="FFFFFF"/>
        <w:spacing w:after="0" w:line="240" w:lineRule="auto"/>
        <w:ind w:left="2040"/>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 xml:space="preserve">Cash returned to shareholders of $256.9 million, a 13% increase compared to calendar year </w:t>
      </w:r>
      <w:proofErr w:type="gramStart"/>
      <w:r w:rsidRPr="0053552B">
        <w:rPr>
          <w:rFonts w:ascii="Verdana" w:eastAsia="Times New Roman" w:hAnsi="Verdana" w:cs="Times New Roman"/>
          <w:b/>
          <w:bCs/>
          <w:color w:val="0A0A0A"/>
          <w:kern w:val="0"/>
          <w:sz w:val="24"/>
          <w:szCs w:val="24"/>
          <w14:ligatures w14:val="none"/>
        </w:rPr>
        <w:t>2022</w:t>
      </w:r>
      <w:proofErr w:type="gramEnd"/>
    </w:p>
    <w:p w14:paraId="5BD34572" w14:textId="77777777" w:rsidR="0053552B" w:rsidRPr="0053552B" w:rsidRDefault="0053552B" w:rsidP="0053552B">
      <w:pPr>
        <w:numPr>
          <w:ilvl w:val="2"/>
          <w:numId w:val="13"/>
        </w:numPr>
        <w:shd w:val="clear" w:color="auto" w:fill="FFFFFF"/>
        <w:spacing w:after="0" w:line="240" w:lineRule="auto"/>
        <w:ind w:left="3060"/>
        <w:jc w:val="both"/>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$144.7 million in share repurchases (4.9 million shares)</w:t>
      </w:r>
    </w:p>
    <w:p w14:paraId="531BFF47" w14:textId="77777777" w:rsidR="0053552B" w:rsidRPr="0053552B" w:rsidRDefault="0053552B" w:rsidP="0053552B">
      <w:pPr>
        <w:numPr>
          <w:ilvl w:val="2"/>
          <w:numId w:val="13"/>
        </w:numPr>
        <w:shd w:val="clear" w:color="auto" w:fill="FFFFFF"/>
        <w:spacing w:after="0" w:line="240" w:lineRule="auto"/>
        <w:ind w:left="3060"/>
        <w:jc w:val="both"/>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$112.2 million in dividends</w:t>
      </w:r>
    </w:p>
    <w:p w14:paraId="741D30F7"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Fourth Quarter 2023</w:t>
      </w:r>
    </w:p>
    <w:p w14:paraId="1EEC5C55"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For the fourth quarter of 2023, the Company reported net sales of $589.1 million, an increase of 19% compared to net sales of $493.6 million for the fourth quarter of 2022. The fourth quarter of 2023 revenue included one-time cost recoveries of approximately $5 million. Light vehicle production increased by 6% quarter over quarter in the Company's primary markets of North America, Europe, and Japan/Korea, which equates to a 13% revenue outperformance versus the Company's underlying markets.</w:t>
      </w:r>
    </w:p>
    <w:p w14:paraId="6C9EF23B"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The gross margin in the fourth quarter of 2023 was 34.5%, compared with a gross margin of 31.2% in the fourth quarter of 2022. The increase in gross margin in the fourth quarter of 2023 was positively impacted by recurring price increases to customers and one-time cost recoveries, which together positively impacted the gross margin by approximately 100 basis points on a quarter over quarter basis. Additional improvements in gross margin compared to the fourth quarter of 2022 came from the higher sales levels, improved leverage on overhead expenses, purchasing cost reductions, lower inbound freight expenses, and some improvements in overtime-related costs. “The fourth quarter of 2023 produced significant year over year gross margin improvements, as well as a sequential improvement in gross margin compared to the third quarter of 2023. Our team has done an excellent job of working with our customers to execute both temporary and permanent price increases to help offset the inflationary cost environment that has negatively impacted Gentex over the last two years," said Gentex President and CEO, Steve Downing. "I am very pleased with the progress we have made in our gross margin recovery plan during 2023. As we head into 2024, the next phase of our gross margin recovery plan will focus on bill of material reductions, throughput improvements, and overtime and scrap cost reductions. The improvements made in 2023 combined with our targeted improvements for 2024 provide the roadmap of how to achieve our target of a 35% - 36% gross margin by the end of the year," concluded Downing.</w:t>
      </w:r>
    </w:p>
    <w:p w14:paraId="28BFBAF8"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Operating expenses during the fourth quarter of 2023 were up 18% to $70.6 million, compared to operating expenses of $59.7 million in the fourth quarter of 2022. Operating expenses increased quarter over quarter primarily due to staffing and engineering related professional fees. “As we ramp up our development and launch capabilities, our planned R&amp;D expenses are trending higher, but remain in line with our expectations and continue to increase in line with our overall sales growth rates. We are focused on adding technical bandwidth across many different disciplines to help execute the significantly higher number of launches needed to accomplish our recent and forecasted growth. While launch activity has been driving an increase in R&amp;D, we also continue to invest heavily in research activity focused on new products and technical capabilities, while also ensuring the technical team is in place to help drive product redesigns that will optimize the cost structure of existing bills of material. We expect our R&amp;D levels to be elevated throughout 2024, as the pace of innovation and launch of new products remain at the fastest rate in Company history,” said Downing.</w:t>
      </w:r>
    </w:p>
    <w:p w14:paraId="5E74878C"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Income from operations for the fourth quarter of 2023 was $132.8 million, compared to income from operations of $94.1 million for the fourth quarter of 2022.</w:t>
      </w:r>
    </w:p>
    <w:p w14:paraId="3780DC54"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During the fourth quarter of 2023, the Company had an effective tax rate of 13.9%, which was driven by benefits from the foreign derived intangible income deduction, discrete benefits from stock-based compensation as well as by provision-to-return adjustments.</w:t>
      </w:r>
    </w:p>
    <w:p w14:paraId="65914D84"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In the fourth quarter of 2023, net income was $116.9 million, compared to net income of $86.2 million in the fourth quarter of 2022.</w:t>
      </w:r>
    </w:p>
    <w:p w14:paraId="1257BA57"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Earnings per diluted share in the fourth quarter of 2023 were $0.50, compared with earnings per diluted share of $0.37 in the fourth quarter of 2022.</w:t>
      </w:r>
    </w:p>
    <w:p w14:paraId="4A9458F9"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Calendar Year 2023</w:t>
      </w:r>
    </w:p>
    <w:p w14:paraId="3826193B"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For calendar year 2023, the Company’s net sales were $2.30 billion, an increase of 20% compared to net sales of $1.92 billion in calendar year 2022, representing the highest annual sales in Company history. Light vehicle production in 2023 increased by 12%, compared to 2022 in the Company's primary markets. The Company's revenue outperformance in 2023 versus the underlying market was driven by growth in FDM and exterior auto-dimming mirror unit shipments, as well as continued penetration of base interior auto-dimming mirrors.</w:t>
      </w:r>
      <w:r w:rsidRPr="0053552B">
        <w:rPr>
          <w:rFonts w:ascii="Verdana" w:eastAsia="Times New Roman" w:hAnsi="Verdana" w:cs="Times New Roman"/>
          <w:color w:val="0A0A0A"/>
          <w:kern w:val="0"/>
          <w:sz w:val="24"/>
          <w:szCs w:val="24"/>
          <w14:ligatures w14:val="none"/>
        </w:rPr>
        <w:br/>
        <w:t>For calendar year 2023, the gross margin was 33.2%, compared to a gross margin of 31.8% for calendar year 2022. Gross margin improved for the year by 140 basis points primarily due to price increases and cost recoveries, lower freight costs, product mix, and improved overhead leverage created by the growth in revenue.</w:t>
      </w:r>
    </w:p>
    <w:p w14:paraId="28A2BEEE"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For calendar year 2023, operating expenses increased 11% to $266.9 million, compared to operating expenses of $239.8 million for calendar year 2022.</w:t>
      </w:r>
    </w:p>
    <w:p w14:paraId="068389C7"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For calendar year 2023, the Company's effective tax rate was 15.2%, compared to an effective tax rate of 13.8% for calendar year 2022. The increase in the tax rate in 2023 was primarily driven by a reduced benefit from the foreign derived intangible income deduction compared to 2022.</w:t>
      </w:r>
    </w:p>
    <w:p w14:paraId="7F495E8C"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Net income for calendar year 2023 was $428.4 million, up 34% compared to net income of $318.8 million in calendar year 2022.</w:t>
      </w:r>
    </w:p>
    <w:p w14:paraId="3CBD1719"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Earnings per diluted share for calendar year 2023 were $1.84, compared to earnings per diluted share of $1.36 in calendar year 2022.</w:t>
      </w:r>
    </w:p>
    <w:p w14:paraId="3D2BE5D6"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Segment Sales</w:t>
      </w:r>
      <w:r w:rsidRPr="0053552B">
        <w:rPr>
          <w:rFonts w:ascii="Verdana" w:eastAsia="Times New Roman" w:hAnsi="Verdana" w:cs="Times New Roman"/>
          <w:color w:val="0A0A0A"/>
          <w:kern w:val="0"/>
          <w:sz w:val="24"/>
          <w:szCs w:val="24"/>
          <w14:ligatures w14:val="none"/>
        </w:rPr>
        <w:t>          </w:t>
      </w:r>
    </w:p>
    <w:p w14:paraId="581D0EB8"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Automotive net sales during the fourth quarter of 2023 were $578.7 million, compared to $482.9 million in the fourth quarter of 2022. For calendar year 2023, automotive net sales were $2.25 billion, which represents a 20% increase over 2022. The increase in automotive net sales was driven primarily by a 45% increase in FDM unit shipments to 2.44 million units, as well as a 21% year over year increase in exterior auto-dimming mirror unit shipments to 18.8 million.</w:t>
      </w:r>
    </w:p>
    <w:p w14:paraId="6DCA89B9"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Other net sales in the fourth quarter of 2023, which includes dimmable aircraft windows and fire protection products, were $10.5 million, a decrease of 2% compared to Other net sales of $10.7 million in the fourth quarter of 2022. Fire protection sales decreased by 44% and dimmable aircraft windows increased by 362% for the fourth quarter of 2023, when compared to the fourth quarter of 2022. Other net sales for calendar year 2023 were $44.6 million, compared to Other net sales of $44.2 million in calendar year 2022. Fire protection sales in 2023 were down 32% year over year, while dimmable aircraft windows increased by 211% in 2023 compared to calendar year 2022.</w:t>
      </w:r>
    </w:p>
    <w:p w14:paraId="0E127918" w14:textId="56F0F90B" w:rsidR="0053552B" w:rsidRPr="0053552B" w:rsidRDefault="0053552B" w:rsidP="00897CAC">
      <w:pPr>
        <w:shd w:val="clear" w:color="auto" w:fill="FFFFFF"/>
        <w:tabs>
          <w:tab w:val="left" w:pos="15870"/>
        </w:tabs>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Share Repurchases</w:t>
      </w:r>
      <w:r w:rsidR="00897CAC">
        <w:rPr>
          <w:rFonts w:ascii="Verdana" w:eastAsia="Times New Roman" w:hAnsi="Verdana" w:cs="Times New Roman"/>
          <w:b/>
          <w:bCs/>
          <w:color w:val="0A0A0A"/>
          <w:kern w:val="0"/>
          <w:sz w:val="24"/>
          <w:szCs w:val="24"/>
          <w14:ligatures w14:val="none"/>
        </w:rPr>
        <w:tab/>
      </w:r>
    </w:p>
    <w:p w14:paraId="75BC3CFF"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xml:space="preserve">The Company repurchased 2.2 million shares of its common stock during the fourth quarter of 2023, at an average price of $30.76 per share. For the year ended December 31, 2023, the Company repurchased 4.93 million shares of its common stock at an average price of $29.61 per share for a total of $144.7 million. As of December 31, 2023, the Company has 15.9 million shares remaining available for repurchase pursuant to its previously announced share repurchase plan. The Company intends to continue to repurchase additional shares of its common stock in the future in support of the previously disclosed capital allocation strategy, but share repurchases may vary from time to time and will </w:t>
      </w:r>
      <w:proofErr w:type="gramStart"/>
      <w:r w:rsidRPr="0053552B">
        <w:rPr>
          <w:rFonts w:ascii="Verdana" w:eastAsia="Times New Roman" w:hAnsi="Verdana" w:cs="Times New Roman"/>
          <w:color w:val="0A0A0A"/>
          <w:kern w:val="0"/>
          <w:sz w:val="24"/>
          <w:szCs w:val="24"/>
          <w14:ligatures w14:val="none"/>
        </w:rPr>
        <w:t>take into account</w:t>
      </w:r>
      <w:proofErr w:type="gramEnd"/>
      <w:r w:rsidRPr="0053552B">
        <w:rPr>
          <w:rFonts w:ascii="Verdana" w:eastAsia="Times New Roman" w:hAnsi="Verdana" w:cs="Times New Roman"/>
          <w:color w:val="0A0A0A"/>
          <w:kern w:val="0"/>
          <w:sz w:val="24"/>
          <w:szCs w:val="24"/>
          <w14:ligatures w14:val="none"/>
        </w:rPr>
        <w:t xml:space="preserve"> macroeconomic issues, market trends, and other factors that the Company deems appropriate.</w:t>
      </w:r>
    </w:p>
    <w:p w14:paraId="517CF414"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Future Estimates</w:t>
      </w:r>
    </w:p>
    <w:p w14:paraId="41AC7D68"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The Company’s current forecasts for light vehicle production for calendar year 2024 and 2025 are based on the S&amp;P Global Mobility mid-January 2024 forecast for light vehicle production in North America, Europe, Japan/Korea, and China and are detailed in the table below.</w:t>
      </w:r>
    </w:p>
    <w:p w14:paraId="1153C5F7"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Based on the following light vehicle production forecasts for 2024 and 2025, the Company is providing certain annual guidance for 2024 and revenue guidance for 2025:</w:t>
      </w:r>
    </w:p>
    <w:tbl>
      <w:tblPr>
        <w:tblW w:w="15630"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545"/>
        <w:gridCol w:w="1698"/>
        <w:gridCol w:w="1697"/>
        <w:gridCol w:w="1697"/>
        <w:gridCol w:w="1682"/>
        <w:gridCol w:w="274"/>
        <w:gridCol w:w="1679"/>
        <w:gridCol w:w="358"/>
      </w:tblGrid>
      <w:tr w:rsidR="0053552B" w:rsidRPr="0053552B" w14:paraId="4EBB05F0" w14:textId="77777777" w:rsidTr="0053552B">
        <w:trPr>
          <w:jc w:val="center"/>
        </w:trPr>
        <w:tc>
          <w:tcPr>
            <w:tcW w:w="0" w:type="auto"/>
            <w:gridSpan w:val="8"/>
            <w:tcBorders>
              <w:top w:val="single" w:sz="8" w:space="0" w:color="000000"/>
              <w:left w:val="single" w:sz="8" w:space="0" w:color="000000"/>
              <w:bottom w:val="single" w:sz="8" w:space="0" w:color="000000"/>
              <w:right w:val="single" w:sz="8" w:space="0" w:color="000000"/>
            </w:tcBorders>
            <w:vAlign w:val="bottom"/>
            <w:hideMark/>
          </w:tcPr>
          <w:p w14:paraId="55DE5DA2"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Light Vehicle Production (per S&amp;P Global Mobility mid-January light vehicle production forecast)</w:t>
            </w:r>
          </w:p>
        </w:tc>
      </w:tr>
      <w:tr w:rsidR="0053552B" w:rsidRPr="0053552B" w14:paraId="5ADEA6A0" w14:textId="77777777" w:rsidTr="0053552B">
        <w:trPr>
          <w:jc w:val="center"/>
        </w:trPr>
        <w:tc>
          <w:tcPr>
            <w:tcW w:w="0" w:type="auto"/>
            <w:gridSpan w:val="8"/>
            <w:tcBorders>
              <w:left w:val="single" w:sz="8" w:space="0" w:color="000000"/>
              <w:right w:val="single" w:sz="8" w:space="0" w:color="000000"/>
            </w:tcBorders>
            <w:shd w:val="clear" w:color="auto" w:fill="F1F1F1"/>
            <w:vAlign w:val="bottom"/>
            <w:hideMark/>
          </w:tcPr>
          <w:p w14:paraId="77DFAC37"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i/>
                <w:iCs/>
                <w:kern w:val="0"/>
                <w:sz w:val="24"/>
                <w:szCs w:val="24"/>
                <w14:ligatures w14:val="none"/>
              </w:rPr>
              <w:t>(in Millions)</w:t>
            </w:r>
            <w:r w:rsidRPr="0053552B">
              <w:rPr>
                <w:rFonts w:ascii="Verdana" w:eastAsia="Times New Roman" w:hAnsi="Verdana" w:cs="Times New Roman"/>
                <w:b/>
                <w:bCs/>
                <w:i/>
                <w:iCs/>
                <w:kern w:val="0"/>
                <w:sz w:val="24"/>
                <w:szCs w:val="24"/>
                <w14:ligatures w14:val="none"/>
              </w:rPr>
              <w:br/>
            </w:r>
          </w:p>
        </w:tc>
      </w:tr>
      <w:tr w:rsidR="0053552B" w:rsidRPr="0053552B" w14:paraId="175B0784" w14:textId="77777777" w:rsidTr="0053552B">
        <w:trPr>
          <w:jc w:val="center"/>
        </w:trPr>
        <w:tc>
          <w:tcPr>
            <w:tcW w:w="0" w:type="auto"/>
            <w:tcBorders>
              <w:left w:val="single" w:sz="8" w:space="0" w:color="000000"/>
              <w:bottom w:val="single" w:sz="8" w:space="0" w:color="000000"/>
            </w:tcBorders>
            <w:tcMar>
              <w:top w:w="15" w:type="dxa"/>
              <w:left w:w="150" w:type="dxa"/>
              <w:bottom w:w="15" w:type="dxa"/>
              <w:right w:w="15" w:type="dxa"/>
            </w:tcMar>
            <w:vAlign w:val="bottom"/>
            <w:hideMark/>
          </w:tcPr>
          <w:p w14:paraId="2AAB30A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Region</w:t>
            </w:r>
          </w:p>
        </w:tc>
        <w:tc>
          <w:tcPr>
            <w:tcW w:w="0" w:type="auto"/>
            <w:tcBorders>
              <w:bottom w:val="single" w:sz="8" w:space="0" w:color="000000"/>
            </w:tcBorders>
            <w:vAlign w:val="bottom"/>
            <w:hideMark/>
          </w:tcPr>
          <w:p w14:paraId="0476390F"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Calendar Year</w:t>
            </w:r>
            <w:r w:rsidRPr="0053552B">
              <w:rPr>
                <w:rFonts w:ascii="Verdana" w:eastAsia="Times New Roman" w:hAnsi="Verdana" w:cs="Times New Roman"/>
                <w:b/>
                <w:bCs/>
                <w:kern w:val="0"/>
                <w:sz w:val="24"/>
                <w:szCs w:val="24"/>
                <w14:ligatures w14:val="none"/>
              </w:rPr>
              <w:br/>
              <w:t>2025</w:t>
            </w:r>
          </w:p>
        </w:tc>
        <w:tc>
          <w:tcPr>
            <w:tcW w:w="0" w:type="auto"/>
            <w:tcBorders>
              <w:bottom w:val="single" w:sz="8" w:space="0" w:color="000000"/>
            </w:tcBorders>
            <w:vAlign w:val="bottom"/>
            <w:hideMark/>
          </w:tcPr>
          <w:p w14:paraId="4677A561"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Calendar Year</w:t>
            </w:r>
            <w:r w:rsidRPr="0053552B">
              <w:rPr>
                <w:rFonts w:ascii="Verdana" w:eastAsia="Times New Roman" w:hAnsi="Verdana" w:cs="Times New Roman"/>
                <w:b/>
                <w:bCs/>
                <w:kern w:val="0"/>
                <w:sz w:val="24"/>
                <w:szCs w:val="24"/>
                <w14:ligatures w14:val="none"/>
              </w:rPr>
              <w:br/>
              <w:t>2024</w:t>
            </w:r>
          </w:p>
        </w:tc>
        <w:tc>
          <w:tcPr>
            <w:tcW w:w="0" w:type="auto"/>
            <w:tcBorders>
              <w:bottom w:val="single" w:sz="8" w:space="0" w:color="000000"/>
            </w:tcBorders>
            <w:vAlign w:val="bottom"/>
            <w:hideMark/>
          </w:tcPr>
          <w:p w14:paraId="7710452A"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Calendar Year</w:t>
            </w:r>
            <w:r w:rsidRPr="0053552B">
              <w:rPr>
                <w:rFonts w:ascii="Verdana" w:eastAsia="Times New Roman" w:hAnsi="Verdana" w:cs="Times New Roman"/>
                <w:b/>
                <w:bCs/>
                <w:kern w:val="0"/>
                <w:sz w:val="24"/>
                <w:szCs w:val="24"/>
                <w14:ligatures w14:val="none"/>
              </w:rPr>
              <w:br/>
              <w:t>2023</w:t>
            </w:r>
          </w:p>
        </w:tc>
        <w:tc>
          <w:tcPr>
            <w:tcW w:w="0" w:type="auto"/>
            <w:gridSpan w:val="2"/>
            <w:tcBorders>
              <w:bottom w:val="single" w:sz="8" w:space="0" w:color="000000"/>
            </w:tcBorders>
            <w:vAlign w:val="bottom"/>
            <w:hideMark/>
          </w:tcPr>
          <w:p w14:paraId="463A4EAC"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2025 vs. 2024</w:t>
            </w:r>
            <w:r w:rsidRPr="0053552B">
              <w:rPr>
                <w:rFonts w:ascii="Verdana" w:eastAsia="Times New Roman" w:hAnsi="Verdana" w:cs="Times New Roman"/>
                <w:b/>
                <w:bCs/>
                <w:kern w:val="0"/>
                <w:sz w:val="24"/>
                <w:szCs w:val="24"/>
                <w14:ligatures w14:val="none"/>
              </w:rPr>
              <w:br/>
              <w:t>% Change</w:t>
            </w:r>
          </w:p>
        </w:tc>
        <w:tc>
          <w:tcPr>
            <w:tcW w:w="0" w:type="auto"/>
            <w:gridSpan w:val="2"/>
            <w:tcBorders>
              <w:bottom w:val="single" w:sz="8" w:space="0" w:color="000000"/>
              <w:right w:val="single" w:sz="8" w:space="0" w:color="000000"/>
            </w:tcBorders>
            <w:vAlign w:val="bottom"/>
            <w:hideMark/>
          </w:tcPr>
          <w:p w14:paraId="45E90469"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2024 vs. 2023</w:t>
            </w:r>
            <w:r w:rsidRPr="0053552B">
              <w:rPr>
                <w:rFonts w:ascii="Verdana" w:eastAsia="Times New Roman" w:hAnsi="Verdana" w:cs="Times New Roman"/>
                <w:b/>
                <w:bCs/>
                <w:kern w:val="0"/>
                <w:sz w:val="24"/>
                <w:szCs w:val="24"/>
                <w14:ligatures w14:val="none"/>
              </w:rPr>
              <w:br/>
              <w:t>% Change</w:t>
            </w:r>
          </w:p>
        </w:tc>
      </w:tr>
      <w:tr w:rsidR="0053552B" w:rsidRPr="0053552B" w14:paraId="0AFE790A" w14:textId="77777777" w:rsidTr="0053552B">
        <w:trPr>
          <w:jc w:val="center"/>
        </w:trPr>
        <w:tc>
          <w:tcPr>
            <w:tcW w:w="6652" w:type="dxa"/>
            <w:tcBorders>
              <w:top w:val="single" w:sz="8" w:space="0" w:color="000000"/>
              <w:left w:val="single" w:sz="8" w:space="0" w:color="000000"/>
            </w:tcBorders>
            <w:shd w:val="clear" w:color="auto" w:fill="F1F1F1"/>
            <w:tcMar>
              <w:top w:w="15" w:type="dxa"/>
              <w:left w:w="150" w:type="dxa"/>
              <w:bottom w:w="15" w:type="dxa"/>
              <w:right w:w="15" w:type="dxa"/>
            </w:tcMar>
            <w:vAlign w:val="bottom"/>
            <w:hideMark/>
          </w:tcPr>
          <w:p w14:paraId="1A3BFE7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North America</w:t>
            </w:r>
          </w:p>
        </w:tc>
        <w:tc>
          <w:tcPr>
            <w:tcW w:w="1709" w:type="dxa"/>
            <w:tcBorders>
              <w:top w:val="single" w:sz="8" w:space="0" w:color="000000"/>
            </w:tcBorders>
            <w:shd w:val="clear" w:color="auto" w:fill="F1F1F1"/>
            <w:vAlign w:val="bottom"/>
            <w:hideMark/>
          </w:tcPr>
          <w:p w14:paraId="0A9EC95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16.2</w:t>
            </w:r>
          </w:p>
        </w:tc>
        <w:tc>
          <w:tcPr>
            <w:tcW w:w="1709" w:type="dxa"/>
            <w:tcBorders>
              <w:top w:val="single" w:sz="8" w:space="0" w:color="000000"/>
            </w:tcBorders>
            <w:shd w:val="clear" w:color="auto" w:fill="F1F1F1"/>
            <w:vAlign w:val="bottom"/>
            <w:hideMark/>
          </w:tcPr>
          <w:p w14:paraId="089EF6D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15.8</w:t>
            </w:r>
          </w:p>
        </w:tc>
        <w:tc>
          <w:tcPr>
            <w:tcW w:w="1709" w:type="dxa"/>
            <w:tcBorders>
              <w:top w:val="single" w:sz="8" w:space="0" w:color="000000"/>
            </w:tcBorders>
            <w:shd w:val="clear" w:color="auto" w:fill="F1F1F1"/>
            <w:vAlign w:val="bottom"/>
            <w:hideMark/>
          </w:tcPr>
          <w:p w14:paraId="5570164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15.6</w:t>
            </w:r>
          </w:p>
        </w:tc>
        <w:tc>
          <w:tcPr>
            <w:tcW w:w="1705" w:type="dxa"/>
            <w:tcBorders>
              <w:top w:val="single" w:sz="8" w:space="0" w:color="000000"/>
            </w:tcBorders>
            <w:shd w:val="clear" w:color="auto" w:fill="F1F1F1"/>
            <w:tcMar>
              <w:top w:w="15" w:type="dxa"/>
              <w:left w:w="15" w:type="dxa"/>
              <w:bottom w:w="15" w:type="dxa"/>
              <w:right w:w="0" w:type="dxa"/>
            </w:tcMar>
            <w:vAlign w:val="bottom"/>
            <w:hideMark/>
          </w:tcPr>
          <w:p w14:paraId="4812A36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w:t>
            </w:r>
          </w:p>
        </w:tc>
        <w:tc>
          <w:tcPr>
            <w:tcW w:w="180" w:type="dxa"/>
            <w:tcBorders>
              <w:top w:val="single" w:sz="8" w:space="0" w:color="000000"/>
            </w:tcBorders>
            <w:shd w:val="clear" w:color="auto" w:fill="F1F1F1"/>
            <w:tcMar>
              <w:top w:w="15" w:type="dxa"/>
              <w:left w:w="0" w:type="dxa"/>
              <w:bottom w:w="15" w:type="dxa"/>
              <w:right w:w="15" w:type="dxa"/>
            </w:tcMar>
            <w:vAlign w:val="bottom"/>
            <w:hideMark/>
          </w:tcPr>
          <w:p w14:paraId="0E12FCC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1704" w:type="dxa"/>
            <w:tcBorders>
              <w:top w:val="single" w:sz="8" w:space="0" w:color="000000"/>
            </w:tcBorders>
            <w:shd w:val="clear" w:color="auto" w:fill="F1F1F1"/>
            <w:tcMar>
              <w:top w:w="15" w:type="dxa"/>
              <w:left w:w="15" w:type="dxa"/>
              <w:bottom w:w="15" w:type="dxa"/>
              <w:right w:w="0" w:type="dxa"/>
            </w:tcMar>
            <w:vAlign w:val="bottom"/>
            <w:hideMark/>
          </w:tcPr>
          <w:p w14:paraId="0977789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w:t>
            </w:r>
          </w:p>
        </w:tc>
        <w:tc>
          <w:tcPr>
            <w:tcW w:w="248" w:type="dxa"/>
            <w:tcBorders>
              <w:top w:val="single" w:sz="8" w:space="0" w:color="000000"/>
              <w:right w:val="single" w:sz="8" w:space="0" w:color="000000"/>
            </w:tcBorders>
            <w:shd w:val="clear" w:color="auto" w:fill="F1F1F1"/>
            <w:tcMar>
              <w:top w:w="15" w:type="dxa"/>
              <w:left w:w="0" w:type="dxa"/>
              <w:bottom w:w="15" w:type="dxa"/>
              <w:right w:w="15" w:type="dxa"/>
            </w:tcMar>
            <w:vAlign w:val="bottom"/>
            <w:hideMark/>
          </w:tcPr>
          <w:p w14:paraId="475B0C9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19BDEB16" w14:textId="77777777" w:rsidTr="0053552B">
        <w:trPr>
          <w:jc w:val="center"/>
        </w:trPr>
        <w:tc>
          <w:tcPr>
            <w:tcW w:w="0" w:type="auto"/>
            <w:tcBorders>
              <w:left w:val="single" w:sz="8" w:space="0" w:color="000000"/>
            </w:tcBorders>
            <w:tcMar>
              <w:top w:w="15" w:type="dxa"/>
              <w:left w:w="150" w:type="dxa"/>
              <w:bottom w:w="15" w:type="dxa"/>
              <w:right w:w="15" w:type="dxa"/>
            </w:tcMar>
            <w:vAlign w:val="bottom"/>
            <w:hideMark/>
          </w:tcPr>
          <w:p w14:paraId="5F761DF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Europe</w:t>
            </w:r>
          </w:p>
        </w:tc>
        <w:tc>
          <w:tcPr>
            <w:tcW w:w="0" w:type="auto"/>
            <w:vAlign w:val="bottom"/>
            <w:hideMark/>
          </w:tcPr>
          <w:p w14:paraId="51697D4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17.5</w:t>
            </w:r>
          </w:p>
        </w:tc>
        <w:tc>
          <w:tcPr>
            <w:tcW w:w="0" w:type="auto"/>
            <w:vAlign w:val="bottom"/>
            <w:hideMark/>
          </w:tcPr>
          <w:p w14:paraId="56F8DF9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17.4</w:t>
            </w:r>
          </w:p>
        </w:tc>
        <w:tc>
          <w:tcPr>
            <w:tcW w:w="0" w:type="auto"/>
            <w:vAlign w:val="bottom"/>
            <w:hideMark/>
          </w:tcPr>
          <w:p w14:paraId="24A798C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17.8</w:t>
            </w:r>
          </w:p>
        </w:tc>
        <w:tc>
          <w:tcPr>
            <w:tcW w:w="0" w:type="auto"/>
            <w:tcMar>
              <w:top w:w="15" w:type="dxa"/>
              <w:left w:w="15" w:type="dxa"/>
              <w:bottom w:w="15" w:type="dxa"/>
              <w:right w:w="0" w:type="dxa"/>
            </w:tcMar>
            <w:vAlign w:val="bottom"/>
            <w:hideMark/>
          </w:tcPr>
          <w:p w14:paraId="4C9CBEB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w:t>
            </w:r>
          </w:p>
        </w:tc>
        <w:tc>
          <w:tcPr>
            <w:tcW w:w="0" w:type="auto"/>
            <w:tcMar>
              <w:top w:w="15" w:type="dxa"/>
              <w:left w:w="0" w:type="dxa"/>
              <w:bottom w:w="15" w:type="dxa"/>
              <w:right w:w="15" w:type="dxa"/>
            </w:tcMar>
            <w:vAlign w:val="bottom"/>
            <w:hideMark/>
          </w:tcPr>
          <w:p w14:paraId="344E5E8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gridSpan w:val="2"/>
            <w:tcBorders>
              <w:right w:val="single" w:sz="8" w:space="0" w:color="000000"/>
            </w:tcBorders>
            <w:vAlign w:val="bottom"/>
            <w:hideMark/>
          </w:tcPr>
          <w:p w14:paraId="3D8E5E2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roofErr w:type="gramStart"/>
            <w:r w:rsidRPr="0053552B">
              <w:rPr>
                <w:rFonts w:ascii="Verdana" w:eastAsia="Times New Roman" w:hAnsi="Verdana" w:cs="Times New Roman"/>
                <w:kern w:val="0"/>
                <w:sz w:val="24"/>
                <w:szCs w:val="24"/>
                <w14:ligatures w14:val="none"/>
              </w:rPr>
              <w:t>2)%</w:t>
            </w:r>
            <w:proofErr w:type="gramEnd"/>
            <w:r w:rsidRPr="0053552B">
              <w:rPr>
                <w:rFonts w:ascii="Verdana" w:eastAsia="Times New Roman" w:hAnsi="Verdana" w:cs="Times New Roman"/>
                <w:kern w:val="0"/>
                <w:sz w:val="24"/>
                <w:szCs w:val="24"/>
                <w14:ligatures w14:val="none"/>
              </w:rPr>
              <w:t> </w:t>
            </w:r>
          </w:p>
        </w:tc>
      </w:tr>
      <w:tr w:rsidR="0053552B" w:rsidRPr="0053552B" w14:paraId="0EA2A4CC" w14:textId="77777777" w:rsidTr="0053552B">
        <w:trPr>
          <w:jc w:val="center"/>
        </w:trPr>
        <w:tc>
          <w:tcPr>
            <w:tcW w:w="0" w:type="auto"/>
            <w:tcBorders>
              <w:left w:val="single" w:sz="8" w:space="0" w:color="000000"/>
            </w:tcBorders>
            <w:shd w:val="clear" w:color="auto" w:fill="F1F1F1"/>
            <w:tcMar>
              <w:top w:w="15" w:type="dxa"/>
              <w:left w:w="150" w:type="dxa"/>
              <w:bottom w:w="15" w:type="dxa"/>
              <w:right w:w="15" w:type="dxa"/>
            </w:tcMar>
            <w:vAlign w:val="bottom"/>
            <w:hideMark/>
          </w:tcPr>
          <w:p w14:paraId="25F06F5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Japan and Korea</w:t>
            </w:r>
          </w:p>
        </w:tc>
        <w:tc>
          <w:tcPr>
            <w:tcW w:w="0" w:type="auto"/>
            <w:shd w:val="clear" w:color="auto" w:fill="F1F1F1"/>
            <w:vAlign w:val="bottom"/>
            <w:hideMark/>
          </w:tcPr>
          <w:p w14:paraId="13EBB62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11.8</w:t>
            </w:r>
          </w:p>
        </w:tc>
        <w:tc>
          <w:tcPr>
            <w:tcW w:w="0" w:type="auto"/>
            <w:shd w:val="clear" w:color="auto" w:fill="F1F1F1"/>
            <w:vAlign w:val="bottom"/>
            <w:hideMark/>
          </w:tcPr>
          <w:p w14:paraId="54B8627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12.2</w:t>
            </w:r>
          </w:p>
        </w:tc>
        <w:tc>
          <w:tcPr>
            <w:tcW w:w="0" w:type="auto"/>
            <w:shd w:val="clear" w:color="auto" w:fill="F1F1F1"/>
            <w:vAlign w:val="bottom"/>
            <w:hideMark/>
          </w:tcPr>
          <w:p w14:paraId="40A7519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12.7</w:t>
            </w:r>
          </w:p>
        </w:tc>
        <w:tc>
          <w:tcPr>
            <w:tcW w:w="0" w:type="auto"/>
            <w:gridSpan w:val="2"/>
            <w:shd w:val="clear" w:color="auto" w:fill="F1F1F1"/>
            <w:vAlign w:val="bottom"/>
            <w:hideMark/>
          </w:tcPr>
          <w:p w14:paraId="6DF100B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roofErr w:type="gramStart"/>
            <w:r w:rsidRPr="0053552B">
              <w:rPr>
                <w:rFonts w:ascii="Verdana" w:eastAsia="Times New Roman" w:hAnsi="Verdana" w:cs="Times New Roman"/>
                <w:kern w:val="0"/>
                <w:sz w:val="24"/>
                <w:szCs w:val="24"/>
                <w14:ligatures w14:val="none"/>
              </w:rPr>
              <w:t>3)%</w:t>
            </w:r>
            <w:proofErr w:type="gramEnd"/>
          </w:p>
        </w:tc>
        <w:tc>
          <w:tcPr>
            <w:tcW w:w="0" w:type="auto"/>
            <w:gridSpan w:val="2"/>
            <w:tcBorders>
              <w:right w:val="single" w:sz="8" w:space="0" w:color="000000"/>
            </w:tcBorders>
            <w:shd w:val="clear" w:color="auto" w:fill="F1F1F1"/>
            <w:vAlign w:val="bottom"/>
            <w:hideMark/>
          </w:tcPr>
          <w:p w14:paraId="51B4580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roofErr w:type="gramStart"/>
            <w:r w:rsidRPr="0053552B">
              <w:rPr>
                <w:rFonts w:ascii="Verdana" w:eastAsia="Times New Roman" w:hAnsi="Verdana" w:cs="Times New Roman"/>
                <w:kern w:val="0"/>
                <w:sz w:val="24"/>
                <w:szCs w:val="24"/>
                <w14:ligatures w14:val="none"/>
              </w:rPr>
              <w:t>4)%</w:t>
            </w:r>
            <w:proofErr w:type="gramEnd"/>
            <w:r w:rsidRPr="0053552B">
              <w:rPr>
                <w:rFonts w:ascii="Verdana" w:eastAsia="Times New Roman" w:hAnsi="Verdana" w:cs="Times New Roman"/>
                <w:kern w:val="0"/>
                <w:sz w:val="24"/>
                <w:szCs w:val="24"/>
                <w14:ligatures w14:val="none"/>
              </w:rPr>
              <w:t> </w:t>
            </w:r>
          </w:p>
        </w:tc>
      </w:tr>
      <w:tr w:rsidR="0053552B" w:rsidRPr="0053552B" w14:paraId="090BC5D3" w14:textId="77777777" w:rsidTr="0053552B">
        <w:trPr>
          <w:jc w:val="center"/>
        </w:trPr>
        <w:tc>
          <w:tcPr>
            <w:tcW w:w="0" w:type="auto"/>
            <w:tcBorders>
              <w:left w:val="single" w:sz="8" w:space="0" w:color="000000"/>
            </w:tcBorders>
            <w:tcMar>
              <w:top w:w="15" w:type="dxa"/>
              <w:left w:w="150" w:type="dxa"/>
              <w:bottom w:w="15" w:type="dxa"/>
              <w:right w:w="15" w:type="dxa"/>
            </w:tcMar>
            <w:vAlign w:val="bottom"/>
            <w:hideMark/>
          </w:tcPr>
          <w:p w14:paraId="1098D0D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China</w:t>
            </w:r>
          </w:p>
        </w:tc>
        <w:tc>
          <w:tcPr>
            <w:tcW w:w="0" w:type="auto"/>
            <w:tcBorders>
              <w:bottom w:val="single" w:sz="8" w:space="0" w:color="000000"/>
            </w:tcBorders>
            <w:vAlign w:val="bottom"/>
            <w:hideMark/>
          </w:tcPr>
          <w:p w14:paraId="518FD04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30.1</w:t>
            </w:r>
          </w:p>
        </w:tc>
        <w:tc>
          <w:tcPr>
            <w:tcW w:w="0" w:type="auto"/>
            <w:tcBorders>
              <w:bottom w:val="single" w:sz="8" w:space="0" w:color="000000"/>
            </w:tcBorders>
            <w:vAlign w:val="bottom"/>
            <w:hideMark/>
          </w:tcPr>
          <w:p w14:paraId="1536BC7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28.9</w:t>
            </w:r>
          </w:p>
        </w:tc>
        <w:tc>
          <w:tcPr>
            <w:tcW w:w="0" w:type="auto"/>
            <w:tcBorders>
              <w:bottom w:val="single" w:sz="8" w:space="0" w:color="000000"/>
            </w:tcBorders>
            <w:vAlign w:val="bottom"/>
            <w:hideMark/>
          </w:tcPr>
          <w:p w14:paraId="6FE803C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28.9</w:t>
            </w:r>
          </w:p>
        </w:tc>
        <w:tc>
          <w:tcPr>
            <w:tcW w:w="0" w:type="auto"/>
            <w:tcBorders>
              <w:bottom w:val="single" w:sz="8" w:space="0" w:color="000000"/>
            </w:tcBorders>
            <w:tcMar>
              <w:top w:w="15" w:type="dxa"/>
              <w:left w:w="15" w:type="dxa"/>
              <w:bottom w:w="15" w:type="dxa"/>
              <w:right w:w="0" w:type="dxa"/>
            </w:tcMar>
            <w:vAlign w:val="bottom"/>
            <w:hideMark/>
          </w:tcPr>
          <w:p w14:paraId="32E6DDF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w:t>
            </w:r>
          </w:p>
        </w:tc>
        <w:tc>
          <w:tcPr>
            <w:tcW w:w="0" w:type="auto"/>
            <w:tcBorders>
              <w:bottom w:val="single" w:sz="8" w:space="0" w:color="000000"/>
            </w:tcBorders>
            <w:tcMar>
              <w:top w:w="15" w:type="dxa"/>
              <w:left w:w="0" w:type="dxa"/>
              <w:bottom w:w="15" w:type="dxa"/>
              <w:right w:w="15" w:type="dxa"/>
            </w:tcMar>
            <w:vAlign w:val="bottom"/>
            <w:hideMark/>
          </w:tcPr>
          <w:p w14:paraId="5DDEF8F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bottom w:val="single" w:sz="8" w:space="0" w:color="000000"/>
            </w:tcBorders>
            <w:tcMar>
              <w:top w:w="15" w:type="dxa"/>
              <w:left w:w="15" w:type="dxa"/>
              <w:bottom w:w="15" w:type="dxa"/>
              <w:right w:w="0" w:type="dxa"/>
            </w:tcMar>
            <w:vAlign w:val="bottom"/>
            <w:hideMark/>
          </w:tcPr>
          <w:p w14:paraId="4E02159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bottom w:val="single" w:sz="8" w:space="0" w:color="000000"/>
              <w:right w:val="single" w:sz="8" w:space="0" w:color="000000"/>
            </w:tcBorders>
            <w:tcMar>
              <w:top w:w="15" w:type="dxa"/>
              <w:left w:w="0" w:type="dxa"/>
              <w:bottom w:w="15" w:type="dxa"/>
              <w:right w:w="15" w:type="dxa"/>
            </w:tcMar>
            <w:vAlign w:val="bottom"/>
            <w:hideMark/>
          </w:tcPr>
          <w:p w14:paraId="41021C7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6E00F57" w14:textId="77777777" w:rsidTr="0053552B">
        <w:trPr>
          <w:jc w:val="center"/>
        </w:trPr>
        <w:tc>
          <w:tcPr>
            <w:tcW w:w="0" w:type="auto"/>
            <w:tcBorders>
              <w:left w:val="single" w:sz="8" w:space="0" w:color="000000"/>
              <w:bottom w:val="single" w:sz="8" w:space="0" w:color="000000"/>
            </w:tcBorders>
            <w:shd w:val="clear" w:color="auto" w:fill="F1F1F1"/>
            <w:tcMar>
              <w:top w:w="15" w:type="dxa"/>
              <w:left w:w="150" w:type="dxa"/>
              <w:bottom w:w="15" w:type="dxa"/>
              <w:right w:w="15" w:type="dxa"/>
            </w:tcMar>
            <w:vAlign w:val="bottom"/>
            <w:hideMark/>
          </w:tcPr>
          <w:p w14:paraId="23B0DE0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Light Vehicle Production</w:t>
            </w:r>
          </w:p>
        </w:tc>
        <w:tc>
          <w:tcPr>
            <w:tcW w:w="0" w:type="auto"/>
            <w:tcBorders>
              <w:top w:val="single" w:sz="8" w:space="0" w:color="000000"/>
            </w:tcBorders>
            <w:shd w:val="clear" w:color="auto" w:fill="F1F1F1"/>
            <w:vAlign w:val="bottom"/>
            <w:hideMark/>
          </w:tcPr>
          <w:p w14:paraId="5342C37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75.6</w:t>
            </w:r>
          </w:p>
        </w:tc>
        <w:tc>
          <w:tcPr>
            <w:tcW w:w="0" w:type="auto"/>
            <w:tcBorders>
              <w:top w:val="single" w:sz="8" w:space="0" w:color="000000"/>
            </w:tcBorders>
            <w:shd w:val="clear" w:color="auto" w:fill="F1F1F1"/>
            <w:vAlign w:val="bottom"/>
            <w:hideMark/>
          </w:tcPr>
          <w:p w14:paraId="43511E3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74.3</w:t>
            </w:r>
          </w:p>
        </w:tc>
        <w:tc>
          <w:tcPr>
            <w:tcW w:w="0" w:type="auto"/>
            <w:tcBorders>
              <w:top w:val="single" w:sz="8" w:space="0" w:color="000000"/>
            </w:tcBorders>
            <w:shd w:val="clear" w:color="auto" w:fill="F1F1F1"/>
            <w:vAlign w:val="bottom"/>
            <w:hideMark/>
          </w:tcPr>
          <w:p w14:paraId="1A01257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75.0</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3906CE8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552EB0E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gridSpan w:val="2"/>
            <w:tcBorders>
              <w:top w:val="single" w:sz="8" w:space="0" w:color="000000"/>
              <w:right w:val="single" w:sz="8" w:space="0" w:color="000000"/>
            </w:tcBorders>
            <w:shd w:val="clear" w:color="auto" w:fill="F1F1F1"/>
            <w:vAlign w:val="bottom"/>
            <w:hideMark/>
          </w:tcPr>
          <w:p w14:paraId="7B45FBF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roofErr w:type="gramStart"/>
            <w:r w:rsidRPr="0053552B">
              <w:rPr>
                <w:rFonts w:ascii="Verdana" w:eastAsia="Times New Roman" w:hAnsi="Verdana" w:cs="Times New Roman"/>
                <w:kern w:val="0"/>
                <w:sz w:val="24"/>
                <w:szCs w:val="24"/>
                <w14:ligatures w14:val="none"/>
              </w:rPr>
              <w:t>1)%</w:t>
            </w:r>
            <w:proofErr w:type="gramEnd"/>
            <w:r w:rsidRPr="0053552B">
              <w:rPr>
                <w:rFonts w:ascii="Verdana" w:eastAsia="Times New Roman" w:hAnsi="Verdana" w:cs="Times New Roman"/>
                <w:kern w:val="0"/>
                <w:sz w:val="24"/>
                <w:szCs w:val="24"/>
                <w14:ligatures w14:val="none"/>
              </w:rPr>
              <w:t> </w:t>
            </w:r>
          </w:p>
        </w:tc>
      </w:tr>
    </w:tbl>
    <w:p w14:paraId="1CB969EE"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w:t>
      </w:r>
    </w:p>
    <w:tbl>
      <w:tblPr>
        <w:tblW w:w="15630" w:type="dxa"/>
        <w:jc w:val="center"/>
        <w:tblBorders>
          <w:top w:val="single" w:sz="8" w:space="0" w:color="000000"/>
        </w:tblBorders>
        <w:tblCellMar>
          <w:top w:w="15" w:type="dxa"/>
          <w:left w:w="15" w:type="dxa"/>
          <w:bottom w:w="15" w:type="dxa"/>
          <w:right w:w="15" w:type="dxa"/>
        </w:tblCellMar>
        <w:tblLook w:val="04A0" w:firstRow="1" w:lastRow="0" w:firstColumn="1" w:lastColumn="0" w:noHBand="0" w:noVBand="1"/>
      </w:tblPr>
      <w:tblGrid>
        <w:gridCol w:w="9378"/>
        <w:gridCol w:w="6252"/>
      </w:tblGrid>
      <w:tr w:rsidR="0053552B" w:rsidRPr="0053552B" w14:paraId="70BD21F4" w14:textId="77777777" w:rsidTr="0053552B">
        <w:trPr>
          <w:jc w:val="center"/>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14:paraId="10218377"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i/>
                <w:iCs/>
                <w:kern w:val="0"/>
                <w:sz w:val="24"/>
                <w:szCs w:val="24"/>
                <w14:ligatures w14:val="none"/>
              </w:rPr>
              <w:t>2024 Guidance</w:t>
            </w:r>
          </w:p>
        </w:tc>
      </w:tr>
      <w:tr w:rsidR="0053552B" w:rsidRPr="0053552B" w14:paraId="4BC4A838" w14:textId="77777777" w:rsidTr="0053552B">
        <w:trPr>
          <w:jc w:val="center"/>
        </w:trPr>
        <w:tc>
          <w:tcPr>
            <w:tcW w:w="9368" w:type="dxa"/>
            <w:tcBorders>
              <w:left w:val="single" w:sz="8" w:space="0" w:color="000000"/>
              <w:bottom w:val="single" w:sz="8" w:space="0" w:color="000000"/>
            </w:tcBorders>
            <w:shd w:val="clear" w:color="auto" w:fill="F1F1F1"/>
            <w:tcMar>
              <w:top w:w="15" w:type="dxa"/>
              <w:left w:w="150" w:type="dxa"/>
              <w:bottom w:w="15" w:type="dxa"/>
              <w:right w:w="15" w:type="dxa"/>
            </w:tcMar>
            <w:vAlign w:val="bottom"/>
            <w:hideMark/>
          </w:tcPr>
          <w:p w14:paraId="22CC708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Revenue</w:t>
            </w:r>
          </w:p>
        </w:tc>
        <w:tc>
          <w:tcPr>
            <w:tcW w:w="6246" w:type="dxa"/>
            <w:tcBorders>
              <w:top w:val="single" w:sz="8" w:space="0" w:color="000000"/>
              <w:bottom w:val="single" w:sz="8" w:space="0" w:color="000000"/>
              <w:right w:val="single" w:sz="8" w:space="0" w:color="000000"/>
            </w:tcBorders>
            <w:shd w:val="clear" w:color="auto" w:fill="F1F1F1"/>
            <w:vAlign w:val="bottom"/>
            <w:hideMark/>
          </w:tcPr>
          <w:p w14:paraId="18067BB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$2.45 - $2.55 Billion</w:t>
            </w:r>
          </w:p>
        </w:tc>
      </w:tr>
      <w:tr w:rsidR="0053552B" w:rsidRPr="0053552B" w14:paraId="7985B58D" w14:textId="77777777" w:rsidTr="0053552B">
        <w:trPr>
          <w:jc w:val="center"/>
        </w:trPr>
        <w:tc>
          <w:tcPr>
            <w:tcW w:w="0" w:type="auto"/>
            <w:tcBorders>
              <w:top w:val="single" w:sz="8" w:space="0" w:color="000000"/>
              <w:left w:val="single" w:sz="8" w:space="0" w:color="000000"/>
              <w:bottom w:val="single" w:sz="8" w:space="0" w:color="000000"/>
            </w:tcBorders>
            <w:tcMar>
              <w:top w:w="15" w:type="dxa"/>
              <w:left w:w="150" w:type="dxa"/>
              <w:bottom w:w="15" w:type="dxa"/>
              <w:right w:w="15" w:type="dxa"/>
            </w:tcMar>
            <w:vAlign w:val="bottom"/>
            <w:hideMark/>
          </w:tcPr>
          <w:p w14:paraId="5276418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Gross Margin</w:t>
            </w:r>
          </w:p>
        </w:tc>
        <w:tc>
          <w:tcPr>
            <w:tcW w:w="0" w:type="auto"/>
            <w:tcBorders>
              <w:top w:val="single" w:sz="8" w:space="0" w:color="000000"/>
              <w:bottom w:val="single" w:sz="8" w:space="0" w:color="000000"/>
              <w:right w:val="single" w:sz="8" w:space="0" w:color="000000"/>
            </w:tcBorders>
            <w:vAlign w:val="bottom"/>
            <w:hideMark/>
          </w:tcPr>
          <w:p w14:paraId="1DBD12C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34% - 35%</w:t>
            </w:r>
          </w:p>
        </w:tc>
      </w:tr>
      <w:tr w:rsidR="0053552B" w:rsidRPr="0053552B" w14:paraId="2A98FE0F" w14:textId="77777777" w:rsidTr="0053552B">
        <w:trPr>
          <w:jc w:val="center"/>
        </w:trPr>
        <w:tc>
          <w:tcPr>
            <w:tcW w:w="0" w:type="auto"/>
            <w:tcBorders>
              <w:top w:val="single" w:sz="8" w:space="0" w:color="000000"/>
              <w:left w:val="single" w:sz="8" w:space="0" w:color="000000"/>
              <w:bottom w:val="single" w:sz="8" w:space="0" w:color="000000"/>
            </w:tcBorders>
            <w:shd w:val="clear" w:color="auto" w:fill="F1F1F1"/>
            <w:tcMar>
              <w:top w:w="15" w:type="dxa"/>
              <w:left w:w="150" w:type="dxa"/>
              <w:bottom w:w="15" w:type="dxa"/>
              <w:right w:w="15" w:type="dxa"/>
            </w:tcMar>
            <w:vAlign w:val="bottom"/>
            <w:hideMark/>
          </w:tcPr>
          <w:p w14:paraId="1992E5F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Operating Expenses (</w:t>
            </w:r>
            <w:proofErr w:type="gramStart"/>
            <w:r w:rsidRPr="0053552B">
              <w:rPr>
                <w:rFonts w:ascii="Verdana" w:eastAsia="Times New Roman" w:hAnsi="Verdana" w:cs="Times New Roman"/>
                <w:kern w:val="0"/>
                <w:sz w:val="24"/>
                <w:szCs w:val="24"/>
                <w14:ligatures w14:val="none"/>
              </w:rPr>
              <w:t>E,R</w:t>
            </w:r>
            <w:proofErr w:type="gramEnd"/>
            <w:r w:rsidRPr="0053552B">
              <w:rPr>
                <w:rFonts w:ascii="Verdana" w:eastAsia="Times New Roman" w:hAnsi="Verdana" w:cs="Times New Roman"/>
                <w:kern w:val="0"/>
                <w:sz w:val="24"/>
                <w:szCs w:val="24"/>
                <w14:ligatures w14:val="none"/>
              </w:rPr>
              <w:t>&amp;D and S,G&amp;A)</w:t>
            </w:r>
          </w:p>
        </w:tc>
        <w:tc>
          <w:tcPr>
            <w:tcW w:w="0" w:type="auto"/>
            <w:tcBorders>
              <w:top w:val="single" w:sz="8" w:space="0" w:color="000000"/>
              <w:bottom w:val="single" w:sz="8" w:space="0" w:color="000000"/>
              <w:right w:val="single" w:sz="8" w:space="0" w:color="000000"/>
            </w:tcBorders>
            <w:shd w:val="clear" w:color="auto" w:fill="F1F1F1"/>
            <w:vAlign w:val="bottom"/>
            <w:hideMark/>
          </w:tcPr>
          <w:p w14:paraId="338C5B5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$295 - $305 million</w:t>
            </w:r>
          </w:p>
        </w:tc>
      </w:tr>
      <w:tr w:rsidR="0053552B" w:rsidRPr="0053552B" w14:paraId="53BD9741" w14:textId="77777777" w:rsidTr="0053552B">
        <w:trPr>
          <w:jc w:val="center"/>
        </w:trPr>
        <w:tc>
          <w:tcPr>
            <w:tcW w:w="0" w:type="auto"/>
            <w:tcBorders>
              <w:top w:val="single" w:sz="8" w:space="0" w:color="000000"/>
              <w:left w:val="single" w:sz="8" w:space="0" w:color="000000"/>
            </w:tcBorders>
            <w:tcMar>
              <w:top w:w="15" w:type="dxa"/>
              <w:left w:w="150" w:type="dxa"/>
              <w:bottom w:w="15" w:type="dxa"/>
              <w:right w:w="15" w:type="dxa"/>
            </w:tcMar>
            <w:vAlign w:val="bottom"/>
            <w:hideMark/>
          </w:tcPr>
          <w:p w14:paraId="4A575D0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Estimated Annual Tax Rate</w:t>
            </w:r>
          </w:p>
        </w:tc>
        <w:tc>
          <w:tcPr>
            <w:tcW w:w="0" w:type="auto"/>
            <w:tcBorders>
              <w:top w:val="single" w:sz="8" w:space="0" w:color="000000"/>
              <w:right w:val="single" w:sz="8" w:space="0" w:color="000000"/>
            </w:tcBorders>
            <w:vAlign w:val="bottom"/>
            <w:hideMark/>
          </w:tcPr>
          <w:p w14:paraId="14992F7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16% - 18%</w:t>
            </w:r>
          </w:p>
        </w:tc>
      </w:tr>
      <w:tr w:rsidR="0053552B" w:rsidRPr="0053552B" w14:paraId="6C89AD51" w14:textId="77777777" w:rsidTr="0053552B">
        <w:trPr>
          <w:jc w:val="center"/>
        </w:trPr>
        <w:tc>
          <w:tcPr>
            <w:tcW w:w="0" w:type="auto"/>
            <w:tcBorders>
              <w:top w:val="single" w:sz="8" w:space="0" w:color="000000"/>
              <w:left w:val="single" w:sz="8" w:space="0" w:color="000000"/>
              <w:bottom w:val="single" w:sz="8" w:space="0" w:color="000000"/>
            </w:tcBorders>
            <w:shd w:val="clear" w:color="auto" w:fill="F1F1F1"/>
            <w:tcMar>
              <w:top w:w="15" w:type="dxa"/>
              <w:left w:w="150" w:type="dxa"/>
              <w:bottom w:w="15" w:type="dxa"/>
              <w:right w:w="15" w:type="dxa"/>
            </w:tcMar>
            <w:vAlign w:val="bottom"/>
            <w:hideMark/>
          </w:tcPr>
          <w:p w14:paraId="2B6081F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Capital Expenditures</w:t>
            </w:r>
          </w:p>
        </w:tc>
        <w:tc>
          <w:tcPr>
            <w:tcW w:w="0" w:type="auto"/>
            <w:tcBorders>
              <w:top w:val="single" w:sz="8" w:space="0" w:color="000000"/>
              <w:bottom w:val="single" w:sz="8" w:space="0" w:color="000000"/>
              <w:right w:val="single" w:sz="8" w:space="0" w:color="000000"/>
            </w:tcBorders>
            <w:shd w:val="clear" w:color="auto" w:fill="F1F1F1"/>
            <w:vAlign w:val="bottom"/>
            <w:hideMark/>
          </w:tcPr>
          <w:p w14:paraId="3066A30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$225 - $250 million</w:t>
            </w:r>
          </w:p>
        </w:tc>
      </w:tr>
      <w:tr w:rsidR="0053552B" w:rsidRPr="0053552B" w14:paraId="233E13FA" w14:textId="77777777" w:rsidTr="0053552B">
        <w:trPr>
          <w:jc w:val="center"/>
        </w:trPr>
        <w:tc>
          <w:tcPr>
            <w:tcW w:w="0" w:type="auto"/>
            <w:tcBorders>
              <w:top w:val="single" w:sz="8" w:space="0" w:color="000000"/>
              <w:left w:val="single" w:sz="8" w:space="0" w:color="000000"/>
              <w:bottom w:val="single" w:sz="8" w:space="0" w:color="000000"/>
            </w:tcBorders>
            <w:tcMar>
              <w:top w:w="15" w:type="dxa"/>
              <w:left w:w="150" w:type="dxa"/>
              <w:bottom w:w="15" w:type="dxa"/>
              <w:right w:w="15" w:type="dxa"/>
            </w:tcMar>
            <w:vAlign w:val="bottom"/>
            <w:hideMark/>
          </w:tcPr>
          <w:p w14:paraId="78CAF1D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Depreciation &amp; Amortization</w:t>
            </w:r>
          </w:p>
        </w:tc>
        <w:tc>
          <w:tcPr>
            <w:tcW w:w="0" w:type="auto"/>
            <w:tcBorders>
              <w:top w:val="single" w:sz="8" w:space="0" w:color="000000"/>
              <w:bottom w:val="single" w:sz="8" w:space="0" w:color="000000"/>
              <w:right w:val="single" w:sz="8" w:space="0" w:color="000000"/>
            </w:tcBorders>
            <w:vAlign w:val="bottom"/>
            <w:hideMark/>
          </w:tcPr>
          <w:p w14:paraId="1CAC90D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$95 - $105 million</w:t>
            </w:r>
          </w:p>
        </w:tc>
      </w:tr>
      <w:tr w:rsidR="0053552B" w:rsidRPr="0053552B" w14:paraId="29A3971A" w14:textId="77777777" w:rsidTr="0053552B">
        <w:trPr>
          <w:jc w:val="center"/>
        </w:trPr>
        <w:tc>
          <w:tcPr>
            <w:tcW w:w="0" w:type="auto"/>
            <w:tcBorders>
              <w:top w:val="single" w:sz="8" w:space="0" w:color="000000"/>
            </w:tcBorders>
            <w:shd w:val="clear" w:color="auto" w:fill="F1F1F1"/>
            <w:vAlign w:val="bottom"/>
            <w:hideMark/>
          </w:tcPr>
          <w:p w14:paraId="1F911F4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vAlign w:val="bottom"/>
            <w:hideMark/>
          </w:tcPr>
          <w:p w14:paraId="1D6AEA1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bl>
    <w:p w14:paraId="03E88801"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Additionally, based on the mid-January 2024 S&amp;P Global Mobility light vehicle production forecast well as the Company's estimates for aerospace, medical and fire protection products for calendar year 2025, the Company currently expects calendar year 2025 revenue to be between $2.65 and $2.75 billion.</w:t>
      </w:r>
    </w:p>
    <w:p w14:paraId="0AB653C0"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xml:space="preserve">"Calendar year 2023 turned out to be a remarkable year for the </w:t>
      </w:r>
      <w:proofErr w:type="gramStart"/>
      <w:r w:rsidRPr="0053552B">
        <w:rPr>
          <w:rFonts w:ascii="Verdana" w:eastAsia="Times New Roman" w:hAnsi="Verdana" w:cs="Times New Roman"/>
          <w:color w:val="0A0A0A"/>
          <w:kern w:val="0"/>
          <w:sz w:val="24"/>
          <w:szCs w:val="24"/>
          <w14:ligatures w14:val="none"/>
        </w:rPr>
        <w:t>Company, and</w:t>
      </w:r>
      <w:proofErr w:type="gramEnd"/>
      <w:r w:rsidRPr="0053552B">
        <w:rPr>
          <w:rFonts w:ascii="Verdana" w:eastAsia="Times New Roman" w:hAnsi="Verdana" w:cs="Times New Roman"/>
          <w:color w:val="0A0A0A"/>
          <w:kern w:val="0"/>
          <w:sz w:val="24"/>
          <w:szCs w:val="24"/>
          <w14:ligatures w14:val="none"/>
        </w:rPr>
        <w:t xml:space="preserve"> was the first time that Gentex has exceeded $2 billion in annual revenue. It is important to note that the growth the Company has achieved over the last few years has been driven by our new technologies and innovative product roadmaps. From 2018 through 2023, the Company's revenue has grown by over 26% while light vehicle production in our primary markets of Europe, North America and Japan and Korea has shrunk by over 11% during this same period. We believe this revenue out performance versus the underlying market is evidence that our product strategy is effective and is creating our targeted results. Our revenue guidance for 2024 and 2025 shows that we remain confident in our ability to continue to outperform the underlying market in revenue growth, while we continue to focus on gross margin improvement. Gentex is poised to execute on our forecasted revenue growth while maintaining </w:t>
      </w:r>
      <w:proofErr w:type="gramStart"/>
      <w:r w:rsidRPr="0053552B">
        <w:rPr>
          <w:rFonts w:ascii="Verdana" w:eastAsia="Times New Roman" w:hAnsi="Verdana" w:cs="Times New Roman"/>
          <w:color w:val="0A0A0A"/>
          <w:kern w:val="0"/>
          <w:sz w:val="24"/>
          <w:szCs w:val="24"/>
          <w14:ligatures w14:val="none"/>
        </w:rPr>
        <w:t>focus</w:t>
      </w:r>
      <w:proofErr w:type="gramEnd"/>
      <w:r w:rsidRPr="0053552B">
        <w:rPr>
          <w:rFonts w:ascii="Verdana" w:eastAsia="Times New Roman" w:hAnsi="Verdana" w:cs="Times New Roman"/>
          <w:color w:val="0A0A0A"/>
          <w:kern w:val="0"/>
          <w:sz w:val="24"/>
          <w:szCs w:val="24"/>
          <w14:ligatures w14:val="none"/>
        </w:rPr>
        <w:t xml:space="preserve"> on cost control and gross margin improvement, which are necessary to accomplish the goal of achieving a gross margin profile of 35 to 36 percent by the end of 2024. These factors, we believe, will result in record revenue and profitability that should create the foundation for increased shareholder returns over the next several years,” concluded Downing.</w:t>
      </w:r>
    </w:p>
    <w:p w14:paraId="0FB7A7DF"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Safe Harbor for Forward-Looking Statements</w:t>
      </w:r>
    </w:p>
    <w:p w14:paraId="13AFD58E"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xml:space="preserve">This news release contains forward-looking statements within the meaning of the safe harbor provisions of the Private Securities Litigation Reform Act of 1995. The statements contained in this communication that are not purely historical are forward-looking statements. Forward-looking statements give the Company’s current expectations or forecasts of future events. These forward-looking statements generally can be identified by the use of words such as “anticipate,” “believe,” “could,” “estimate,” “expect,” “forecast,” “future,” “goal,” “guidance,” “hope,” “intend,” "likely", “may,” “opinion,” “optimistic,” “plan,” “poised,” “predict,” “project,” “should,” “strategy,” “target,” “will,” "work to," and variations of such words and similar expressions. Such statements are subject to risks and uncertainties that are often difficult to predict and beyond the Company’s </w:t>
      </w:r>
      <w:proofErr w:type="gramStart"/>
      <w:r w:rsidRPr="0053552B">
        <w:rPr>
          <w:rFonts w:ascii="Verdana" w:eastAsia="Times New Roman" w:hAnsi="Verdana" w:cs="Times New Roman"/>
          <w:color w:val="0A0A0A"/>
          <w:kern w:val="0"/>
          <w:sz w:val="24"/>
          <w:szCs w:val="24"/>
          <w14:ligatures w14:val="none"/>
        </w:rPr>
        <w:t>control, and</w:t>
      </w:r>
      <w:proofErr w:type="gramEnd"/>
      <w:r w:rsidRPr="0053552B">
        <w:rPr>
          <w:rFonts w:ascii="Verdana" w:eastAsia="Times New Roman" w:hAnsi="Verdana" w:cs="Times New Roman"/>
          <w:color w:val="0A0A0A"/>
          <w:kern w:val="0"/>
          <w:sz w:val="24"/>
          <w:szCs w:val="24"/>
          <w14:ligatures w14:val="none"/>
        </w:rPr>
        <w:t xml:space="preserve"> could cause the Company’s results to differ materially from those described. These risks and uncertainties include, without limitation: changes in general industry or regional market conditions, including the impact of inflation; changes in consumer and customer preferences for our products (such as cameras replacing mirrors and/or autonomous driving); our ability to be awarded new business; continued uncertainty in pricing negotiations with customers and suppliers; loss of business from increased competition; changes in strategic relationships; customer bankruptcies or divestiture of customer brands; fluctuation in vehicle production schedules (including the impact of customer employee strikes); changes in product mix; raw material and other supply shortages; labor shortages, supply chain constraints and disruptions; our dependence on information systems; higher raw material, fuel, energy and other costs; unfavorable fluctuations in currencies or interest rates in the regions in which we operate; costs or difficulties related to the integration and/or ability to maximize the value of any new or acquired technologies and businesses; changes in regulatory conditions; warranty and recall claims and other litigation and customer reactions thereto; possible adverse results of pending or future litigation or infringement claims; changes in tax laws; import and export duty and tariff rates in or with the countries with which we conduct business; negative impact of any governmental investigations and associated litigation including securities litigation relating to the conduct of our business; and force majeure events. Readers are cautioned not to place undue reliance on these forward-looking statements, which speak only as of the date they are made. The Company undertakes no obligation to publicly update or revise any forward-looking statement, whether </w:t>
      </w:r>
      <w:proofErr w:type="gramStart"/>
      <w:r w:rsidRPr="0053552B">
        <w:rPr>
          <w:rFonts w:ascii="Verdana" w:eastAsia="Times New Roman" w:hAnsi="Verdana" w:cs="Times New Roman"/>
          <w:color w:val="0A0A0A"/>
          <w:kern w:val="0"/>
          <w:sz w:val="24"/>
          <w:szCs w:val="24"/>
          <w14:ligatures w14:val="none"/>
        </w:rPr>
        <w:t>as a result of</w:t>
      </w:r>
      <w:proofErr w:type="gramEnd"/>
      <w:r w:rsidRPr="0053552B">
        <w:rPr>
          <w:rFonts w:ascii="Verdana" w:eastAsia="Times New Roman" w:hAnsi="Verdana" w:cs="Times New Roman"/>
          <w:color w:val="0A0A0A"/>
          <w:kern w:val="0"/>
          <w:sz w:val="24"/>
          <w:szCs w:val="24"/>
          <w14:ligatures w14:val="none"/>
        </w:rPr>
        <w:t xml:space="preserve"> new information, future events or otherwise, except as required by law or the rules of the NASDAQ Global Select Market. Accordingly, any forward-looking statement should be read in conjunction with the additional information about risks and uncertainties identified under the heading “Risk Factors” in the Company’s latest Form 10-K and Form 10-Q filed with the SEC, which risks and uncertainties include supply chain constraints that have affected, are affecting, and will continue to affect, general economic and industry conditions, customers, suppliers, and the regulatory environment in which the Company operates. Includes content supplied by S&amp;P Global Mobility Light Vehicle Production Forecast of January 16, 2024 (</w:t>
      </w:r>
      <w:hyperlink r:id="rId6" w:tgtFrame="_blank" w:history="1">
        <w:r w:rsidRPr="0053552B">
          <w:rPr>
            <w:rFonts w:ascii="Verdana" w:eastAsia="Times New Roman" w:hAnsi="Verdana" w:cs="Times New Roman"/>
            <w:color w:val="4C4C4C"/>
            <w:kern w:val="0"/>
            <w:sz w:val="24"/>
            <w:szCs w:val="24"/>
            <w14:ligatures w14:val="none"/>
          </w:rPr>
          <w:t>http://www.gentex.com/forecast-disclaimer</w:t>
        </w:r>
      </w:hyperlink>
      <w:r w:rsidRPr="0053552B">
        <w:rPr>
          <w:rFonts w:ascii="Verdana" w:eastAsia="Times New Roman" w:hAnsi="Verdana" w:cs="Times New Roman"/>
          <w:color w:val="0A0A0A"/>
          <w:kern w:val="0"/>
          <w:sz w:val="24"/>
          <w:szCs w:val="24"/>
          <w14:ligatures w14:val="none"/>
        </w:rPr>
        <w:t>).</w:t>
      </w:r>
    </w:p>
    <w:p w14:paraId="5BA05D42"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Fourth Quarter Conference Call</w:t>
      </w:r>
    </w:p>
    <w:p w14:paraId="3226A16B"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A conference call related to this news release will be simulcast live on the Internet beginning at 9:30 a.m. ET today, January 26, 2024. Participants who wish to ask questions may register for the call at </w:t>
      </w:r>
      <w:hyperlink r:id="rId7" w:tgtFrame="_blank" w:history="1">
        <w:r w:rsidRPr="0053552B">
          <w:rPr>
            <w:rFonts w:ascii="Verdana" w:eastAsia="Times New Roman" w:hAnsi="Verdana" w:cs="Times New Roman"/>
            <w:color w:val="4C4C4C"/>
            <w:kern w:val="0"/>
            <w:sz w:val="24"/>
            <w:szCs w:val="24"/>
            <w14:ligatures w14:val="none"/>
          </w:rPr>
          <w:t>https://register.vevent.com/register/BI2be277eaaa904858bc4ebde90c1fe1f9</w:t>
        </w:r>
      </w:hyperlink>
      <w:r w:rsidRPr="0053552B">
        <w:rPr>
          <w:rFonts w:ascii="Verdana" w:eastAsia="Times New Roman" w:hAnsi="Verdana" w:cs="Times New Roman"/>
          <w:color w:val="0A0A0A"/>
          <w:kern w:val="0"/>
          <w:sz w:val="24"/>
          <w:szCs w:val="24"/>
          <w14:ligatures w14:val="none"/>
        </w:rPr>
        <w:t> to receive the dial-in numbers and unique PIN to access the call seamlessly. It is recommended that participants join 10 minutes prior to the event start, although they may register ahead of the call and dial in at any time during the call. Participants may listen to the call via audio streaming at </w:t>
      </w:r>
      <w:hyperlink r:id="rId8" w:tgtFrame="_blank" w:history="1">
        <w:r w:rsidRPr="0053552B">
          <w:rPr>
            <w:rFonts w:ascii="Verdana" w:eastAsia="Times New Roman" w:hAnsi="Verdana" w:cs="Times New Roman"/>
            <w:color w:val="4C4C4C"/>
            <w:kern w:val="0"/>
            <w:sz w:val="24"/>
            <w:szCs w:val="24"/>
            <w14:ligatures w14:val="none"/>
          </w:rPr>
          <w:t>https://edge.media-server.com/mmc/p/fasubkb7</w:t>
        </w:r>
      </w:hyperlink>
      <w:r w:rsidRPr="0053552B">
        <w:rPr>
          <w:rFonts w:ascii="Verdana" w:eastAsia="Times New Roman" w:hAnsi="Verdana" w:cs="Times New Roman"/>
          <w:color w:val="0A0A0A"/>
          <w:kern w:val="0"/>
          <w:sz w:val="24"/>
          <w:szCs w:val="24"/>
          <w14:ligatures w14:val="none"/>
        </w:rPr>
        <w:t>. A webcast replay will be available approximately 24 hours after the conclusion of the call at </w:t>
      </w:r>
      <w:hyperlink r:id="rId9" w:tgtFrame="_blank" w:history="1">
        <w:r w:rsidRPr="0053552B">
          <w:rPr>
            <w:rFonts w:ascii="Verdana" w:eastAsia="Times New Roman" w:hAnsi="Verdana" w:cs="Times New Roman"/>
            <w:color w:val="4C4C4C"/>
            <w:kern w:val="0"/>
            <w:sz w:val="24"/>
            <w:szCs w:val="24"/>
            <w14:ligatures w14:val="none"/>
          </w:rPr>
          <w:t>http://ir.gentex.com/events-and-presentations/upcoming-past-events</w:t>
        </w:r>
      </w:hyperlink>
      <w:r w:rsidRPr="0053552B">
        <w:rPr>
          <w:rFonts w:ascii="Verdana" w:eastAsia="Times New Roman" w:hAnsi="Verdana" w:cs="Times New Roman"/>
          <w:color w:val="0A0A0A"/>
          <w:kern w:val="0"/>
          <w:sz w:val="24"/>
          <w:szCs w:val="24"/>
          <w14:ligatures w14:val="none"/>
        </w:rPr>
        <w:t>.</w:t>
      </w:r>
    </w:p>
    <w:p w14:paraId="0F0B43B1"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b/>
          <w:bCs/>
          <w:color w:val="0A0A0A"/>
          <w:kern w:val="0"/>
          <w:sz w:val="24"/>
          <w:szCs w:val="24"/>
          <w14:ligatures w14:val="none"/>
        </w:rPr>
        <w:t>About the Company</w:t>
      </w:r>
    </w:p>
    <w:p w14:paraId="3E308B28"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xml:space="preserve">Founded in 1974, Gentex Corporation (The NASDAQ Global Select Market: GNTX) is a leading supplier of digital vision, connected car, dimmable </w:t>
      </w:r>
      <w:proofErr w:type="gramStart"/>
      <w:r w:rsidRPr="0053552B">
        <w:rPr>
          <w:rFonts w:ascii="Verdana" w:eastAsia="Times New Roman" w:hAnsi="Verdana" w:cs="Times New Roman"/>
          <w:color w:val="0A0A0A"/>
          <w:kern w:val="0"/>
          <w:sz w:val="24"/>
          <w:szCs w:val="24"/>
          <w14:ligatures w14:val="none"/>
        </w:rPr>
        <w:t>glass</w:t>
      </w:r>
      <w:proofErr w:type="gramEnd"/>
      <w:r w:rsidRPr="0053552B">
        <w:rPr>
          <w:rFonts w:ascii="Verdana" w:eastAsia="Times New Roman" w:hAnsi="Verdana" w:cs="Times New Roman"/>
          <w:color w:val="0A0A0A"/>
          <w:kern w:val="0"/>
          <w:sz w:val="24"/>
          <w:szCs w:val="24"/>
          <w14:ligatures w14:val="none"/>
        </w:rPr>
        <w:t xml:space="preserve"> and fire protection technologies. Visit the Company’s web site at </w:t>
      </w:r>
      <w:hyperlink r:id="rId10" w:tgtFrame="_blank" w:history="1">
        <w:r w:rsidRPr="0053552B">
          <w:rPr>
            <w:rFonts w:ascii="Verdana" w:eastAsia="Times New Roman" w:hAnsi="Verdana" w:cs="Times New Roman"/>
            <w:color w:val="4C4C4C"/>
            <w:kern w:val="0"/>
            <w:sz w:val="24"/>
            <w:szCs w:val="24"/>
            <w14:ligatures w14:val="none"/>
          </w:rPr>
          <w:t>www.gentex.com</w:t>
        </w:r>
      </w:hyperlink>
      <w:r w:rsidRPr="0053552B">
        <w:rPr>
          <w:rFonts w:ascii="Verdana" w:eastAsia="Times New Roman" w:hAnsi="Verdana" w:cs="Times New Roman"/>
          <w:color w:val="0A0A0A"/>
          <w:kern w:val="0"/>
          <w:sz w:val="24"/>
          <w:szCs w:val="24"/>
          <w14:ligatures w14:val="none"/>
        </w:rPr>
        <w:t>.</w:t>
      </w:r>
    </w:p>
    <w:p w14:paraId="67575DAA"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Contact Information:</w:t>
      </w:r>
      <w:r w:rsidRPr="0053552B">
        <w:rPr>
          <w:rFonts w:ascii="Verdana" w:eastAsia="Times New Roman" w:hAnsi="Verdana" w:cs="Times New Roman"/>
          <w:color w:val="0A0A0A"/>
          <w:kern w:val="0"/>
          <w:sz w:val="24"/>
          <w:szCs w:val="24"/>
          <w14:ligatures w14:val="none"/>
        </w:rPr>
        <w:br/>
        <w:t>Gentex Investor &amp; Media Contact</w:t>
      </w:r>
      <w:r w:rsidRPr="0053552B">
        <w:rPr>
          <w:rFonts w:ascii="Verdana" w:eastAsia="Times New Roman" w:hAnsi="Verdana" w:cs="Times New Roman"/>
          <w:color w:val="0A0A0A"/>
          <w:kern w:val="0"/>
          <w:sz w:val="24"/>
          <w:szCs w:val="24"/>
          <w14:ligatures w14:val="none"/>
        </w:rPr>
        <w:br/>
        <w:t xml:space="preserve">Josh </w:t>
      </w:r>
      <w:proofErr w:type="spellStart"/>
      <w:r w:rsidRPr="0053552B">
        <w:rPr>
          <w:rFonts w:ascii="Verdana" w:eastAsia="Times New Roman" w:hAnsi="Verdana" w:cs="Times New Roman"/>
          <w:color w:val="0A0A0A"/>
          <w:kern w:val="0"/>
          <w:sz w:val="24"/>
          <w:szCs w:val="24"/>
          <w14:ligatures w14:val="none"/>
        </w:rPr>
        <w:t>O'Berski</w:t>
      </w:r>
      <w:proofErr w:type="spellEnd"/>
      <w:r w:rsidRPr="0053552B">
        <w:rPr>
          <w:rFonts w:ascii="Verdana" w:eastAsia="Times New Roman" w:hAnsi="Verdana" w:cs="Times New Roman"/>
          <w:color w:val="0A0A0A"/>
          <w:kern w:val="0"/>
          <w:sz w:val="24"/>
          <w:szCs w:val="24"/>
          <w14:ligatures w14:val="none"/>
        </w:rPr>
        <w:br/>
        <w:t>(616)772-1590 x5814</w:t>
      </w:r>
    </w:p>
    <w:p w14:paraId="1DB11E53"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w:t>
      </w:r>
    </w:p>
    <w:tbl>
      <w:tblPr>
        <w:tblW w:w="15630" w:type="dxa"/>
        <w:jc w:val="center"/>
        <w:tblCellMar>
          <w:top w:w="15" w:type="dxa"/>
          <w:left w:w="15" w:type="dxa"/>
          <w:bottom w:w="15" w:type="dxa"/>
          <w:right w:w="15" w:type="dxa"/>
        </w:tblCellMar>
        <w:tblLook w:val="04A0" w:firstRow="1" w:lastRow="0" w:firstColumn="1" w:lastColumn="0" w:noHBand="0" w:noVBand="1"/>
      </w:tblPr>
      <w:tblGrid>
        <w:gridCol w:w="5973"/>
        <w:gridCol w:w="1390"/>
        <w:gridCol w:w="155"/>
        <w:gridCol w:w="1390"/>
        <w:gridCol w:w="155"/>
        <w:gridCol w:w="1387"/>
        <w:gridCol w:w="274"/>
        <w:gridCol w:w="155"/>
        <w:gridCol w:w="1390"/>
        <w:gridCol w:w="155"/>
        <w:gridCol w:w="1390"/>
        <w:gridCol w:w="155"/>
        <w:gridCol w:w="1387"/>
        <w:gridCol w:w="274"/>
      </w:tblGrid>
      <w:tr w:rsidR="0053552B" w:rsidRPr="0053552B" w14:paraId="237B797D" w14:textId="77777777" w:rsidTr="0053552B">
        <w:trPr>
          <w:jc w:val="center"/>
        </w:trPr>
        <w:tc>
          <w:tcPr>
            <w:tcW w:w="0" w:type="auto"/>
            <w:gridSpan w:val="14"/>
            <w:vAlign w:val="bottom"/>
            <w:hideMark/>
          </w:tcPr>
          <w:p w14:paraId="2EE50848"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GENTEX CORPORATION</w:t>
            </w:r>
          </w:p>
        </w:tc>
      </w:tr>
      <w:tr w:rsidR="0053552B" w:rsidRPr="0053552B" w14:paraId="70819018" w14:textId="77777777" w:rsidTr="0053552B">
        <w:trPr>
          <w:jc w:val="center"/>
        </w:trPr>
        <w:tc>
          <w:tcPr>
            <w:tcW w:w="0" w:type="auto"/>
            <w:gridSpan w:val="14"/>
            <w:shd w:val="clear" w:color="auto" w:fill="F1F1F1"/>
            <w:vAlign w:val="bottom"/>
            <w:hideMark/>
          </w:tcPr>
          <w:p w14:paraId="52F08740"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AUTO-DIMMING MIRROR SHIPMENTS</w:t>
            </w:r>
          </w:p>
        </w:tc>
      </w:tr>
      <w:tr w:rsidR="0053552B" w:rsidRPr="0053552B" w14:paraId="4FB566D0" w14:textId="77777777" w:rsidTr="0053552B">
        <w:trPr>
          <w:jc w:val="center"/>
        </w:trPr>
        <w:tc>
          <w:tcPr>
            <w:tcW w:w="0" w:type="auto"/>
            <w:gridSpan w:val="14"/>
            <w:vAlign w:val="bottom"/>
            <w:hideMark/>
          </w:tcPr>
          <w:p w14:paraId="3581CD80"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i/>
                <w:iCs/>
                <w:kern w:val="0"/>
                <w:sz w:val="24"/>
                <w:szCs w:val="24"/>
                <w14:ligatures w14:val="none"/>
              </w:rPr>
              <w:t>(Thousands)</w:t>
            </w:r>
          </w:p>
        </w:tc>
      </w:tr>
      <w:tr w:rsidR="0053552B" w:rsidRPr="0053552B" w14:paraId="215EE7E4" w14:textId="77777777" w:rsidTr="0053552B">
        <w:trPr>
          <w:jc w:val="center"/>
        </w:trPr>
        <w:tc>
          <w:tcPr>
            <w:tcW w:w="0" w:type="auto"/>
            <w:gridSpan w:val="14"/>
            <w:shd w:val="clear" w:color="auto" w:fill="F1F1F1"/>
            <w:vAlign w:val="bottom"/>
            <w:hideMark/>
          </w:tcPr>
          <w:p w14:paraId="7D36260E"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3C315B22" w14:textId="77777777" w:rsidTr="0053552B">
        <w:trPr>
          <w:jc w:val="center"/>
        </w:trPr>
        <w:tc>
          <w:tcPr>
            <w:tcW w:w="0" w:type="auto"/>
            <w:vAlign w:val="bottom"/>
            <w:hideMark/>
          </w:tcPr>
          <w:p w14:paraId="50F2D2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6"/>
            <w:vAlign w:val="bottom"/>
            <w:hideMark/>
          </w:tcPr>
          <w:p w14:paraId="0E85F6FA"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Three Months Ended</w:t>
            </w:r>
            <w:r w:rsidRPr="0053552B">
              <w:rPr>
                <w:rFonts w:ascii="Verdana" w:eastAsia="Times New Roman" w:hAnsi="Verdana" w:cs="Times New Roman"/>
                <w:kern w:val="0"/>
                <w:sz w:val="24"/>
                <w:szCs w:val="24"/>
                <w14:ligatures w14:val="none"/>
              </w:rPr>
              <w:br/>
            </w:r>
            <w:r w:rsidRPr="0053552B">
              <w:rPr>
                <w:rFonts w:ascii="Verdana" w:eastAsia="Times New Roman" w:hAnsi="Verdana" w:cs="Times New Roman"/>
                <w:b/>
                <w:bCs/>
                <w:kern w:val="0"/>
                <w:sz w:val="24"/>
                <w:szCs w:val="24"/>
                <w14:ligatures w14:val="none"/>
              </w:rPr>
              <w:t>December 31,</w:t>
            </w:r>
          </w:p>
        </w:tc>
        <w:tc>
          <w:tcPr>
            <w:tcW w:w="0" w:type="auto"/>
            <w:vAlign w:val="bottom"/>
            <w:hideMark/>
          </w:tcPr>
          <w:p w14:paraId="44607B8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6"/>
            <w:vAlign w:val="bottom"/>
            <w:hideMark/>
          </w:tcPr>
          <w:p w14:paraId="4470F344"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Twelve Months ended</w:t>
            </w:r>
            <w:r w:rsidRPr="0053552B">
              <w:rPr>
                <w:rFonts w:ascii="Verdana" w:eastAsia="Times New Roman" w:hAnsi="Verdana" w:cs="Times New Roman"/>
                <w:kern w:val="0"/>
                <w:sz w:val="24"/>
                <w:szCs w:val="24"/>
                <w14:ligatures w14:val="none"/>
              </w:rPr>
              <w:br/>
            </w:r>
            <w:r w:rsidRPr="0053552B">
              <w:rPr>
                <w:rFonts w:ascii="Verdana" w:eastAsia="Times New Roman" w:hAnsi="Verdana" w:cs="Times New Roman"/>
                <w:b/>
                <w:bCs/>
                <w:kern w:val="0"/>
                <w:sz w:val="24"/>
                <w:szCs w:val="24"/>
                <w14:ligatures w14:val="none"/>
              </w:rPr>
              <w:t>December 31,</w:t>
            </w:r>
          </w:p>
        </w:tc>
      </w:tr>
      <w:tr w:rsidR="0053552B" w:rsidRPr="0053552B" w14:paraId="09435A2C" w14:textId="77777777" w:rsidTr="0053552B">
        <w:trPr>
          <w:jc w:val="center"/>
        </w:trPr>
        <w:tc>
          <w:tcPr>
            <w:tcW w:w="0" w:type="auto"/>
            <w:shd w:val="clear" w:color="auto" w:fill="F1F1F1"/>
            <w:vAlign w:val="bottom"/>
            <w:hideMark/>
          </w:tcPr>
          <w:p w14:paraId="4C82029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32AB2404"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2023</w:t>
            </w:r>
          </w:p>
        </w:tc>
        <w:tc>
          <w:tcPr>
            <w:tcW w:w="0" w:type="auto"/>
            <w:tcBorders>
              <w:bottom w:val="single" w:sz="8" w:space="0" w:color="000000"/>
            </w:tcBorders>
            <w:shd w:val="clear" w:color="auto" w:fill="F1F1F1"/>
            <w:vAlign w:val="bottom"/>
            <w:hideMark/>
          </w:tcPr>
          <w:p w14:paraId="6A91854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6BB27D68"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2022</w:t>
            </w:r>
          </w:p>
        </w:tc>
        <w:tc>
          <w:tcPr>
            <w:tcW w:w="0" w:type="auto"/>
            <w:shd w:val="clear" w:color="auto" w:fill="F1F1F1"/>
            <w:vAlign w:val="bottom"/>
            <w:hideMark/>
          </w:tcPr>
          <w:p w14:paraId="3981FAB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4A7C02BD"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w:t>
            </w:r>
            <w:r w:rsidRPr="0053552B">
              <w:rPr>
                <w:rFonts w:ascii="Verdana" w:eastAsia="Times New Roman" w:hAnsi="Verdana" w:cs="Times New Roman"/>
                <w:kern w:val="0"/>
                <w:sz w:val="24"/>
                <w:szCs w:val="24"/>
                <w14:ligatures w14:val="none"/>
              </w:rPr>
              <w:br/>
            </w:r>
            <w:r w:rsidRPr="0053552B">
              <w:rPr>
                <w:rFonts w:ascii="Verdana" w:eastAsia="Times New Roman" w:hAnsi="Verdana" w:cs="Times New Roman"/>
                <w:b/>
                <w:bCs/>
                <w:kern w:val="0"/>
                <w:sz w:val="24"/>
                <w:szCs w:val="24"/>
                <w14:ligatures w14:val="none"/>
              </w:rPr>
              <w:t>Change</w:t>
            </w:r>
          </w:p>
        </w:tc>
        <w:tc>
          <w:tcPr>
            <w:tcW w:w="0" w:type="auto"/>
            <w:shd w:val="clear" w:color="auto" w:fill="F1F1F1"/>
            <w:vAlign w:val="bottom"/>
            <w:hideMark/>
          </w:tcPr>
          <w:p w14:paraId="1281F8B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1F2F0EBF"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2023</w:t>
            </w:r>
          </w:p>
        </w:tc>
        <w:tc>
          <w:tcPr>
            <w:tcW w:w="0" w:type="auto"/>
            <w:tcBorders>
              <w:bottom w:val="single" w:sz="8" w:space="0" w:color="000000"/>
            </w:tcBorders>
            <w:shd w:val="clear" w:color="auto" w:fill="F1F1F1"/>
            <w:vAlign w:val="bottom"/>
            <w:hideMark/>
          </w:tcPr>
          <w:p w14:paraId="6B558AC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4BBADD5F"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2022</w:t>
            </w:r>
          </w:p>
        </w:tc>
        <w:tc>
          <w:tcPr>
            <w:tcW w:w="0" w:type="auto"/>
            <w:shd w:val="clear" w:color="auto" w:fill="F1F1F1"/>
            <w:vAlign w:val="bottom"/>
            <w:hideMark/>
          </w:tcPr>
          <w:p w14:paraId="5ACB6BF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48F8BBA4"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w:t>
            </w:r>
            <w:r w:rsidRPr="0053552B">
              <w:rPr>
                <w:rFonts w:ascii="Verdana" w:eastAsia="Times New Roman" w:hAnsi="Verdana" w:cs="Times New Roman"/>
                <w:kern w:val="0"/>
                <w:sz w:val="24"/>
                <w:szCs w:val="24"/>
                <w14:ligatures w14:val="none"/>
              </w:rPr>
              <w:br/>
            </w:r>
            <w:r w:rsidRPr="0053552B">
              <w:rPr>
                <w:rFonts w:ascii="Verdana" w:eastAsia="Times New Roman" w:hAnsi="Verdana" w:cs="Times New Roman"/>
                <w:b/>
                <w:bCs/>
                <w:kern w:val="0"/>
                <w:sz w:val="24"/>
                <w:szCs w:val="24"/>
                <w14:ligatures w14:val="none"/>
              </w:rPr>
              <w:t>Change</w:t>
            </w:r>
          </w:p>
        </w:tc>
      </w:tr>
      <w:tr w:rsidR="0053552B" w:rsidRPr="0053552B" w14:paraId="43AFEE3B" w14:textId="77777777" w:rsidTr="0053552B">
        <w:trPr>
          <w:jc w:val="center"/>
        </w:trPr>
        <w:tc>
          <w:tcPr>
            <w:tcW w:w="6071" w:type="dxa"/>
            <w:vAlign w:val="bottom"/>
            <w:hideMark/>
          </w:tcPr>
          <w:p w14:paraId="77E70A6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North American Interior Mirrors</w:t>
            </w:r>
          </w:p>
        </w:tc>
        <w:tc>
          <w:tcPr>
            <w:tcW w:w="1402" w:type="dxa"/>
            <w:tcBorders>
              <w:top w:val="single" w:sz="8" w:space="0" w:color="000000"/>
            </w:tcBorders>
            <w:vAlign w:val="bottom"/>
            <w:hideMark/>
          </w:tcPr>
          <w:p w14:paraId="7587B32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2,068</w:t>
            </w:r>
          </w:p>
        </w:tc>
        <w:tc>
          <w:tcPr>
            <w:tcW w:w="156" w:type="dxa"/>
            <w:tcBorders>
              <w:top w:val="single" w:sz="8" w:space="0" w:color="000000"/>
            </w:tcBorders>
            <w:vAlign w:val="bottom"/>
            <w:hideMark/>
          </w:tcPr>
          <w:p w14:paraId="71F13BA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402" w:type="dxa"/>
            <w:tcBorders>
              <w:top w:val="single" w:sz="8" w:space="0" w:color="000000"/>
            </w:tcBorders>
            <w:vAlign w:val="bottom"/>
            <w:hideMark/>
          </w:tcPr>
          <w:p w14:paraId="4E8B71E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1,939</w:t>
            </w:r>
          </w:p>
        </w:tc>
        <w:tc>
          <w:tcPr>
            <w:tcW w:w="156" w:type="dxa"/>
            <w:vAlign w:val="bottom"/>
            <w:hideMark/>
          </w:tcPr>
          <w:p w14:paraId="569E8AB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402" w:type="dxa"/>
            <w:tcBorders>
              <w:top w:val="single" w:sz="8" w:space="0" w:color="000000"/>
            </w:tcBorders>
            <w:tcMar>
              <w:top w:w="15" w:type="dxa"/>
              <w:left w:w="15" w:type="dxa"/>
              <w:bottom w:w="15" w:type="dxa"/>
              <w:right w:w="0" w:type="dxa"/>
            </w:tcMar>
            <w:vAlign w:val="bottom"/>
            <w:hideMark/>
          </w:tcPr>
          <w:p w14:paraId="1B3C140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w:t>
            </w:r>
          </w:p>
        </w:tc>
        <w:tc>
          <w:tcPr>
            <w:tcW w:w="177" w:type="dxa"/>
            <w:tcBorders>
              <w:top w:val="single" w:sz="8" w:space="0" w:color="000000"/>
            </w:tcBorders>
            <w:tcMar>
              <w:top w:w="15" w:type="dxa"/>
              <w:left w:w="0" w:type="dxa"/>
              <w:bottom w:w="15" w:type="dxa"/>
              <w:right w:w="15" w:type="dxa"/>
            </w:tcMar>
            <w:vAlign w:val="bottom"/>
            <w:hideMark/>
          </w:tcPr>
          <w:p w14:paraId="6AD914F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156" w:type="dxa"/>
            <w:vAlign w:val="bottom"/>
            <w:hideMark/>
          </w:tcPr>
          <w:p w14:paraId="2505A84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402" w:type="dxa"/>
            <w:tcBorders>
              <w:top w:val="single" w:sz="8" w:space="0" w:color="000000"/>
            </w:tcBorders>
            <w:vAlign w:val="bottom"/>
            <w:hideMark/>
          </w:tcPr>
          <w:p w14:paraId="6514E11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9,213</w:t>
            </w:r>
          </w:p>
        </w:tc>
        <w:tc>
          <w:tcPr>
            <w:tcW w:w="156" w:type="dxa"/>
            <w:tcBorders>
              <w:top w:val="single" w:sz="8" w:space="0" w:color="000000"/>
            </w:tcBorders>
            <w:vAlign w:val="bottom"/>
            <w:hideMark/>
          </w:tcPr>
          <w:p w14:paraId="6D0C058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402" w:type="dxa"/>
            <w:tcBorders>
              <w:top w:val="single" w:sz="8" w:space="0" w:color="000000"/>
            </w:tcBorders>
            <w:vAlign w:val="bottom"/>
            <w:hideMark/>
          </w:tcPr>
          <w:p w14:paraId="013CBB2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8,384</w:t>
            </w:r>
          </w:p>
        </w:tc>
        <w:tc>
          <w:tcPr>
            <w:tcW w:w="156" w:type="dxa"/>
            <w:vAlign w:val="bottom"/>
            <w:hideMark/>
          </w:tcPr>
          <w:p w14:paraId="11E56A9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402" w:type="dxa"/>
            <w:tcBorders>
              <w:top w:val="single" w:sz="8" w:space="0" w:color="000000"/>
            </w:tcBorders>
            <w:tcMar>
              <w:top w:w="15" w:type="dxa"/>
              <w:left w:w="15" w:type="dxa"/>
              <w:bottom w:w="15" w:type="dxa"/>
              <w:right w:w="0" w:type="dxa"/>
            </w:tcMar>
            <w:vAlign w:val="bottom"/>
            <w:hideMark/>
          </w:tcPr>
          <w:p w14:paraId="2935FF8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10</w:t>
            </w:r>
          </w:p>
        </w:tc>
        <w:tc>
          <w:tcPr>
            <w:tcW w:w="182" w:type="dxa"/>
            <w:tcBorders>
              <w:top w:val="single" w:sz="8" w:space="0" w:color="000000"/>
            </w:tcBorders>
            <w:tcMar>
              <w:top w:w="15" w:type="dxa"/>
              <w:left w:w="0" w:type="dxa"/>
              <w:bottom w:w="15" w:type="dxa"/>
              <w:right w:w="15" w:type="dxa"/>
            </w:tcMar>
            <w:vAlign w:val="bottom"/>
            <w:hideMark/>
          </w:tcPr>
          <w:p w14:paraId="17982AD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4366CB01" w14:textId="77777777" w:rsidTr="0053552B">
        <w:trPr>
          <w:jc w:val="center"/>
        </w:trPr>
        <w:tc>
          <w:tcPr>
            <w:tcW w:w="0" w:type="auto"/>
            <w:shd w:val="clear" w:color="auto" w:fill="F1F1F1"/>
            <w:vAlign w:val="bottom"/>
            <w:hideMark/>
          </w:tcPr>
          <w:p w14:paraId="4F531C2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North American Exterior Mirrors</w:t>
            </w:r>
          </w:p>
        </w:tc>
        <w:tc>
          <w:tcPr>
            <w:tcW w:w="0" w:type="auto"/>
            <w:tcBorders>
              <w:bottom w:val="single" w:sz="8" w:space="0" w:color="000000"/>
            </w:tcBorders>
            <w:shd w:val="clear" w:color="auto" w:fill="F1F1F1"/>
            <w:vAlign w:val="bottom"/>
            <w:hideMark/>
          </w:tcPr>
          <w:p w14:paraId="426B9D5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1,769</w:t>
            </w:r>
          </w:p>
        </w:tc>
        <w:tc>
          <w:tcPr>
            <w:tcW w:w="0" w:type="auto"/>
            <w:shd w:val="clear" w:color="auto" w:fill="F1F1F1"/>
            <w:vAlign w:val="bottom"/>
            <w:hideMark/>
          </w:tcPr>
          <w:p w14:paraId="3580140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0D8C5EC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1,454</w:t>
            </w:r>
          </w:p>
        </w:tc>
        <w:tc>
          <w:tcPr>
            <w:tcW w:w="0" w:type="auto"/>
            <w:shd w:val="clear" w:color="auto" w:fill="F1F1F1"/>
            <w:vAlign w:val="bottom"/>
            <w:hideMark/>
          </w:tcPr>
          <w:p w14:paraId="5D1DC2A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59C154E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22</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68E268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vAlign w:val="bottom"/>
            <w:hideMark/>
          </w:tcPr>
          <w:p w14:paraId="50D3912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5F7410E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6,781</w:t>
            </w:r>
          </w:p>
        </w:tc>
        <w:tc>
          <w:tcPr>
            <w:tcW w:w="0" w:type="auto"/>
            <w:shd w:val="clear" w:color="auto" w:fill="F1F1F1"/>
            <w:vAlign w:val="bottom"/>
            <w:hideMark/>
          </w:tcPr>
          <w:p w14:paraId="02BA682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443A9D6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5,986</w:t>
            </w:r>
          </w:p>
        </w:tc>
        <w:tc>
          <w:tcPr>
            <w:tcW w:w="0" w:type="auto"/>
            <w:shd w:val="clear" w:color="auto" w:fill="F1F1F1"/>
            <w:vAlign w:val="bottom"/>
            <w:hideMark/>
          </w:tcPr>
          <w:p w14:paraId="17B4335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772325D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A6F85A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64DE4E40" w14:textId="77777777" w:rsidTr="0053552B">
        <w:trPr>
          <w:jc w:val="center"/>
        </w:trPr>
        <w:tc>
          <w:tcPr>
            <w:tcW w:w="0" w:type="auto"/>
            <w:tcMar>
              <w:top w:w="15" w:type="dxa"/>
              <w:left w:w="300" w:type="dxa"/>
              <w:bottom w:w="15" w:type="dxa"/>
              <w:right w:w="15" w:type="dxa"/>
            </w:tcMar>
            <w:vAlign w:val="bottom"/>
            <w:hideMark/>
          </w:tcPr>
          <w:p w14:paraId="5986CAD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North American Mirror Units</w:t>
            </w:r>
          </w:p>
        </w:tc>
        <w:tc>
          <w:tcPr>
            <w:tcW w:w="0" w:type="auto"/>
            <w:tcBorders>
              <w:top w:val="single" w:sz="8" w:space="0" w:color="000000"/>
            </w:tcBorders>
            <w:vAlign w:val="bottom"/>
            <w:hideMark/>
          </w:tcPr>
          <w:p w14:paraId="231F8B8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3,837</w:t>
            </w:r>
          </w:p>
        </w:tc>
        <w:tc>
          <w:tcPr>
            <w:tcW w:w="0" w:type="auto"/>
            <w:vAlign w:val="bottom"/>
            <w:hideMark/>
          </w:tcPr>
          <w:p w14:paraId="0C382DC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6240270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3,393</w:t>
            </w:r>
          </w:p>
        </w:tc>
        <w:tc>
          <w:tcPr>
            <w:tcW w:w="0" w:type="auto"/>
            <w:vAlign w:val="bottom"/>
            <w:hideMark/>
          </w:tcPr>
          <w:p w14:paraId="5226BA5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32C7AAA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w:t>
            </w:r>
          </w:p>
        </w:tc>
        <w:tc>
          <w:tcPr>
            <w:tcW w:w="0" w:type="auto"/>
            <w:tcBorders>
              <w:top w:val="single" w:sz="8" w:space="0" w:color="000000"/>
            </w:tcBorders>
            <w:tcMar>
              <w:top w:w="15" w:type="dxa"/>
              <w:left w:w="0" w:type="dxa"/>
              <w:bottom w:w="15" w:type="dxa"/>
              <w:right w:w="15" w:type="dxa"/>
            </w:tcMar>
            <w:vAlign w:val="bottom"/>
            <w:hideMark/>
          </w:tcPr>
          <w:p w14:paraId="30EA4C4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vAlign w:val="bottom"/>
            <w:hideMark/>
          </w:tcPr>
          <w:p w14:paraId="277C9BC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727006C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15,993</w:t>
            </w:r>
          </w:p>
        </w:tc>
        <w:tc>
          <w:tcPr>
            <w:tcW w:w="0" w:type="auto"/>
            <w:vAlign w:val="bottom"/>
            <w:hideMark/>
          </w:tcPr>
          <w:p w14:paraId="4EC15EC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6B5CF73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14,369</w:t>
            </w:r>
          </w:p>
        </w:tc>
        <w:tc>
          <w:tcPr>
            <w:tcW w:w="0" w:type="auto"/>
            <w:vAlign w:val="bottom"/>
            <w:hideMark/>
          </w:tcPr>
          <w:p w14:paraId="6883EDE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284AFF0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w:t>
            </w:r>
          </w:p>
        </w:tc>
        <w:tc>
          <w:tcPr>
            <w:tcW w:w="0" w:type="auto"/>
            <w:tcBorders>
              <w:top w:val="single" w:sz="8" w:space="0" w:color="000000"/>
            </w:tcBorders>
            <w:tcMar>
              <w:top w:w="15" w:type="dxa"/>
              <w:left w:w="0" w:type="dxa"/>
              <w:bottom w:w="15" w:type="dxa"/>
              <w:right w:w="15" w:type="dxa"/>
            </w:tcMar>
            <w:vAlign w:val="bottom"/>
            <w:hideMark/>
          </w:tcPr>
          <w:p w14:paraId="602775C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4F93F5E7" w14:textId="77777777" w:rsidTr="0053552B">
        <w:trPr>
          <w:jc w:val="center"/>
        </w:trPr>
        <w:tc>
          <w:tcPr>
            <w:tcW w:w="0" w:type="auto"/>
            <w:shd w:val="clear" w:color="auto" w:fill="F1F1F1"/>
            <w:vAlign w:val="bottom"/>
            <w:hideMark/>
          </w:tcPr>
          <w:p w14:paraId="3F6CC9D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International Interior Mirrors</w:t>
            </w:r>
          </w:p>
        </w:tc>
        <w:tc>
          <w:tcPr>
            <w:tcW w:w="0" w:type="auto"/>
            <w:shd w:val="clear" w:color="auto" w:fill="F1F1F1"/>
            <w:vAlign w:val="bottom"/>
            <w:hideMark/>
          </w:tcPr>
          <w:p w14:paraId="4B88EA3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5,410</w:t>
            </w:r>
          </w:p>
        </w:tc>
        <w:tc>
          <w:tcPr>
            <w:tcW w:w="0" w:type="auto"/>
            <w:shd w:val="clear" w:color="auto" w:fill="F1F1F1"/>
            <w:vAlign w:val="bottom"/>
            <w:hideMark/>
          </w:tcPr>
          <w:p w14:paraId="5E8F26E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34D3AE8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5,020</w:t>
            </w:r>
          </w:p>
        </w:tc>
        <w:tc>
          <w:tcPr>
            <w:tcW w:w="0" w:type="auto"/>
            <w:shd w:val="clear" w:color="auto" w:fill="F1F1F1"/>
            <w:vAlign w:val="bottom"/>
            <w:hideMark/>
          </w:tcPr>
          <w:p w14:paraId="37DC3A2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16AED4D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8</w:t>
            </w:r>
          </w:p>
        </w:tc>
        <w:tc>
          <w:tcPr>
            <w:tcW w:w="0" w:type="auto"/>
            <w:shd w:val="clear" w:color="auto" w:fill="F1F1F1"/>
            <w:tcMar>
              <w:top w:w="15" w:type="dxa"/>
              <w:left w:w="0" w:type="dxa"/>
              <w:bottom w:w="15" w:type="dxa"/>
              <w:right w:w="15" w:type="dxa"/>
            </w:tcMar>
            <w:vAlign w:val="bottom"/>
            <w:hideMark/>
          </w:tcPr>
          <w:p w14:paraId="4C27EF3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vAlign w:val="bottom"/>
            <w:hideMark/>
          </w:tcPr>
          <w:p w14:paraId="3310997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1EDB986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22,554</w:t>
            </w:r>
          </w:p>
        </w:tc>
        <w:tc>
          <w:tcPr>
            <w:tcW w:w="0" w:type="auto"/>
            <w:shd w:val="clear" w:color="auto" w:fill="F1F1F1"/>
            <w:vAlign w:val="bottom"/>
            <w:hideMark/>
          </w:tcPr>
          <w:p w14:paraId="6972C07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724FA57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20,303</w:t>
            </w:r>
          </w:p>
        </w:tc>
        <w:tc>
          <w:tcPr>
            <w:tcW w:w="0" w:type="auto"/>
            <w:shd w:val="clear" w:color="auto" w:fill="F1F1F1"/>
            <w:vAlign w:val="bottom"/>
            <w:hideMark/>
          </w:tcPr>
          <w:p w14:paraId="748CDF6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5B63BD1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w:t>
            </w:r>
          </w:p>
        </w:tc>
        <w:tc>
          <w:tcPr>
            <w:tcW w:w="0" w:type="auto"/>
            <w:shd w:val="clear" w:color="auto" w:fill="F1F1F1"/>
            <w:tcMar>
              <w:top w:w="15" w:type="dxa"/>
              <w:left w:w="0" w:type="dxa"/>
              <w:bottom w:w="15" w:type="dxa"/>
              <w:right w:w="15" w:type="dxa"/>
            </w:tcMar>
            <w:vAlign w:val="bottom"/>
            <w:hideMark/>
          </w:tcPr>
          <w:p w14:paraId="1C5A4EF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02C55FC5" w14:textId="77777777" w:rsidTr="0053552B">
        <w:trPr>
          <w:jc w:val="center"/>
        </w:trPr>
        <w:tc>
          <w:tcPr>
            <w:tcW w:w="0" w:type="auto"/>
            <w:vAlign w:val="bottom"/>
            <w:hideMark/>
          </w:tcPr>
          <w:p w14:paraId="7A4D842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International Exterior Mirrors</w:t>
            </w:r>
          </w:p>
        </w:tc>
        <w:tc>
          <w:tcPr>
            <w:tcW w:w="0" w:type="auto"/>
            <w:tcBorders>
              <w:bottom w:val="single" w:sz="8" w:space="0" w:color="000000"/>
            </w:tcBorders>
            <w:vAlign w:val="bottom"/>
            <w:hideMark/>
          </w:tcPr>
          <w:p w14:paraId="0AD3687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3,109</w:t>
            </w:r>
          </w:p>
        </w:tc>
        <w:tc>
          <w:tcPr>
            <w:tcW w:w="0" w:type="auto"/>
            <w:vAlign w:val="bottom"/>
            <w:hideMark/>
          </w:tcPr>
          <w:p w14:paraId="6B5C76B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vAlign w:val="bottom"/>
            <w:hideMark/>
          </w:tcPr>
          <w:p w14:paraId="554385F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2,591</w:t>
            </w:r>
          </w:p>
        </w:tc>
        <w:tc>
          <w:tcPr>
            <w:tcW w:w="0" w:type="auto"/>
            <w:vAlign w:val="bottom"/>
            <w:hideMark/>
          </w:tcPr>
          <w:p w14:paraId="1A76A71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tcMar>
              <w:top w:w="15" w:type="dxa"/>
              <w:left w:w="15" w:type="dxa"/>
              <w:bottom w:w="15" w:type="dxa"/>
              <w:right w:w="0" w:type="dxa"/>
            </w:tcMar>
            <w:vAlign w:val="bottom"/>
            <w:hideMark/>
          </w:tcPr>
          <w:p w14:paraId="54F5528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w:t>
            </w:r>
          </w:p>
        </w:tc>
        <w:tc>
          <w:tcPr>
            <w:tcW w:w="0" w:type="auto"/>
            <w:tcBorders>
              <w:bottom w:val="single" w:sz="8" w:space="0" w:color="000000"/>
            </w:tcBorders>
            <w:tcMar>
              <w:top w:w="15" w:type="dxa"/>
              <w:left w:w="0" w:type="dxa"/>
              <w:bottom w:w="15" w:type="dxa"/>
              <w:right w:w="15" w:type="dxa"/>
            </w:tcMar>
            <w:vAlign w:val="bottom"/>
            <w:hideMark/>
          </w:tcPr>
          <w:p w14:paraId="626C0D3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vAlign w:val="bottom"/>
            <w:hideMark/>
          </w:tcPr>
          <w:p w14:paraId="6642C5D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vAlign w:val="bottom"/>
            <w:hideMark/>
          </w:tcPr>
          <w:p w14:paraId="2AAD06C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12,048</w:t>
            </w:r>
          </w:p>
        </w:tc>
        <w:tc>
          <w:tcPr>
            <w:tcW w:w="0" w:type="auto"/>
            <w:vAlign w:val="bottom"/>
            <w:hideMark/>
          </w:tcPr>
          <w:p w14:paraId="4AE8C35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vAlign w:val="bottom"/>
            <w:hideMark/>
          </w:tcPr>
          <w:p w14:paraId="5E9A1D3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9,516</w:t>
            </w:r>
          </w:p>
        </w:tc>
        <w:tc>
          <w:tcPr>
            <w:tcW w:w="0" w:type="auto"/>
            <w:vAlign w:val="bottom"/>
            <w:hideMark/>
          </w:tcPr>
          <w:p w14:paraId="5960C86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tcMar>
              <w:top w:w="15" w:type="dxa"/>
              <w:left w:w="15" w:type="dxa"/>
              <w:bottom w:w="15" w:type="dxa"/>
              <w:right w:w="0" w:type="dxa"/>
            </w:tcMar>
            <w:vAlign w:val="bottom"/>
            <w:hideMark/>
          </w:tcPr>
          <w:p w14:paraId="70F54BC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27</w:t>
            </w:r>
          </w:p>
        </w:tc>
        <w:tc>
          <w:tcPr>
            <w:tcW w:w="0" w:type="auto"/>
            <w:tcBorders>
              <w:bottom w:val="single" w:sz="8" w:space="0" w:color="000000"/>
            </w:tcBorders>
            <w:tcMar>
              <w:top w:w="15" w:type="dxa"/>
              <w:left w:w="0" w:type="dxa"/>
              <w:bottom w:w="15" w:type="dxa"/>
              <w:right w:w="15" w:type="dxa"/>
            </w:tcMar>
            <w:vAlign w:val="bottom"/>
            <w:hideMark/>
          </w:tcPr>
          <w:p w14:paraId="0D68A66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2112E687" w14:textId="77777777" w:rsidTr="0053552B">
        <w:trPr>
          <w:jc w:val="center"/>
        </w:trPr>
        <w:tc>
          <w:tcPr>
            <w:tcW w:w="0" w:type="auto"/>
            <w:shd w:val="clear" w:color="auto" w:fill="F1F1F1"/>
            <w:tcMar>
              <w:top w:w="15" w:type="dxa"/>
              <w:left w:w="300" w:type="dxa"/>
              <w:bottom w:w="15" w:type="dxa"/>
              <w:right w:w="15" w:type="dxa"/>
            </w:tcMar>
            <w:vAlign w:val="bottom"/>
            <w:hideMark/>
          </w:tcPr>
          <w:p w14:paraId="68F7B69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International Mirror Units</w:t>
            </w:r>
          </w:p>
        </w:tc>
        <w:tc>
          <w:tcPr>
            <w:tcW w:w="0" w:type="auto"/>
            <w:tcBorders>
              <w:top w:val="single" w:sz="8" w:space="0" w:color="000000"/>
            </w:tcBorders>
            <w:shd w:val="clear" w:color="auto" w:fill="F1F1F1"/>
            <w:vAlign w:val="bottom"/>
            <w:hideMark/>
          </w:tcPr>
          <w:p w14:paraId="0223ED1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8,519</w:t>
            </w:r>
          </w:p>
        </w:tc>
        <w:tc>
          <w:tcPr>
            <w:tcW w:w="0" w:type="auto"/>
            <w:shd w:val="clear" w:color="auto" w:fill="F1F1F1"/>
            <w:vAlign w:val="bottom"/>
            <w:hideMark/>
          </w:tcPr>
          <w:p w14:paraId="374C357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vAlign w:val="bottom"/>
            <w:hideMark/>
          </w:tcPr>
          <w:p w14:paraId="01AD195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7,611</w:t>
            </w:r>
          </w:p>
        </w:tc>
        <w:tc>
          <w:tcPr>
            <w:tcW w:w="0" w:type="auto"/>
            <w:shd w:val="clear" w:color="auto" w:fill="F1F1F1"/>
            <w:vAlign w:val="bottom"/>
            <w:hideMark/>
          </w:tcPr>
          <w:p w14:paraId="68B0EA2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6614B19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42ECE3C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vAlign w:val="bottom"/>
            <w:hideMark/>
          </w:tcPr>
          <w:p w14:paraId="14EA92C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vAlign w:val="bottom"/>
            <w:hideMark/>
          </w:tcPr>
          <w:p w14:paraId="060C7A3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34,602</w:t>
            </w:r>
          </w:p>
        </w:tc>
        <w:tc>
          <w:tcPr>
            <w:tcW w:w="0" w:type="auto"/>
            <w:shd w:val="clear" w:color="auto" w:fill="F1F1F1"/>
            <w:vAlign w:val="bottom"/>
            <w:hideMark/>
          </w:tcPr>
          <w:p w14:paraId="27BA294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vAlign w:val="bottom"/>
            <w:hideMark/>
          </w:tcPr>
          <w:p w14:paraId="2BCDC48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29,819</w:t>
            </w:r>
          </w:p>
        </w:tc>
        <w:tc>
          <w:tcPr>
            <w:tcW w:w="0" w:type="auto"/>
            <w:shd w:val="clear" w:color="auto" w:fill="F1F1F1"/>
            <w:vAlign w:val="bottom"/>
            <w:hideMark/>
          </w:tcPr>
          <w:p w14:paraId="0FF9836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7232D2C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16</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22CCACE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6B0EF33B" w14:textId="77777777" w:rsidTr="0053552B">
        <w:trPr>
          <w:jc w:val="center"/>
        </w:trPr>
        <w:tc>
          <w:tcPr>
            <w:tcW w:w="0" w:type="auto"/>
            <w:vAlign w:val="bottom"/>
            <w:hideMark/>
          </w:tcPr>
          <w:p w14:paraId="6D22882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Interior Mirrors</w:t>
            </w:r>
          </w:p>
        </w:tc>
        <w:tc>
          <w:tcPr>
            <w:tcW w:w="0" w:type="auto"/>
            <w:vAlign w:val="bottom"/>
            <w:hideMark/>
          </w:tcPr>
          <w:p w14:paraId="60CD57F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7,478</w:t>
            </w:r>
          </w:p>
        </w:tc>
        <w:tc>
          <w:tcPr>
            <w:tcW w:w="0" w:type="auto"/>
            <w:vAlign w:val="bottom"/>
            <w:hideMark/>
          </w:tcPr>
          <w:p w14:paraId="40B39F6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45F8017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6,959</w:t>
            </w:r>
          </w:p>
        </w:tc>
        <w:tc>
          <w:tcPr>
            <w:tcW w:w="0" w:type="auto"/>
            <w:vAlign w:val="bottom"/>
            <w:hideMark/>
          </w:tcPr>
          <w:p w14:paraId="565E4A5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7A57BAD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w:t>
            </w:r>
          </w:p>
        </w:tc>
        <w:tc>
          <w:tcPr>
            <w:tcW w:w="0" w:type="auto"/>
            <w:tcMar>
              <w:top w:w="15" w:type="dxa"/>
              <w:left w:w="0" w:type="dxa"/>
              <w:bottom w:w="15" w:type="dxa"/>
              <w:right w:w="15" w:type="dxa"/>
            </w:tcMar>
            <w:vAlign w:val="bottom"/>
            <w:hideMark/>
          </w:tcPr>
          <w:p w14:paraId="12A7708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vAlign w:val="bottom"/>
            <w:hideMark/>
          </w:tcPr>
          <w:p w14:paraId="3C95656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4A5F0EC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31,767</w:t>
            </w:r>
          </w:p>
        </w:tc>
        <w:tc>
          <w:tcPr>
            <w:tcW w:w="0" w:type="auto"/>
            <w:vAlign w:val="bottom"/>
            <w:hideMark/>
          </w:tcPr>
          <w:p w14:paraId="3BC5FE1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35B2B65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28,686</w:t>
            </w:r>
          </w:p>
        </w:tc>
        <w:tc>
          <w:tcPr>
            <w:tcW w:w="0" w:type="auto"/>
            <w:vAlign w:val="bottom"/>
            <w:hideMark/>
          </w:tcPr>
          <w:p w14:paraId="240A019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2EEC03D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w:t>
            </w:r>
          </w:p>
        </w:tc>
        <w:tc>
          <w:tcPr>
            <w:tcW w:w="0" w:type="auto"/>
            <w:tcMar>
              <w:top w:w="15" w:type="dxa"/>
              <w:left w:w="0" w:type="dxa"/>
              <w:bottom w:w="15" w:type="dxa"/>
              <w:right w:w="15" w:type="dxa"/>
            </w:tcMar>
            <w:vAlign w:val="bottom"/>
            <w:hideMark/>
          </w:tcPr>
          <w:p w14:paraId="2F5BAD2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0F1ED4B6" w14:textId="77777777" w:rsidTr="0053552B">
        <w:trPr>
          <w:jc w:val="center"/>
        </w:trPr>
        <w:tc>
          <w:tcPr>
            <w:tcW w:w="0" w:type="auto"/>
            <w:shd w:val="clear" w:color="auto" w:fill="F1F1F1"/>
            <w:vAlign w:val="bottom"/>
            <w:hideMark/>
          </w:tcPr>
          <w:p w14:paraId="3796098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Exterior Mirrors</w:t>
            </w:r>
          </w:p>
        </w:tc>
        <w:tc>
          <w:tcPr>
            <w:tcW w:w="0" w:type="auto"/>
            <w:tcBorders>
              <w:bottom w:val="single" w:sz="8" w:space="0" w:color="000000"/>
            </w:tcBorders>
            <w:shd w:val="clear" w:color="auto" w:fill="F1F1F1"/>
            <w:vAlign w:val="bottom"/>
            <w:hideMark/>
          </w:tcPr>
          <w:p w14:paraId="11F7896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4,878</w:t>
            </w:r>
          </w:p>
        </w:tc>
        <w:tc>
          <w:tcPr>
            <w:tcW w:w="0" w:type="auto"/>
            <w:shd w:val="clear" w:color="auto" w:fill="F1F1F1"/>
            <w:vAlign w:val="bottom"/>
            <w:hideMark/>
          </w:tcPr>
          <w:p w14:paraId="60602C8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649A3D7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4,045</w:t>
            </w:r>
          </w:p>
        </w:tc>
        <w:tc>
          <w:tcPr>
            <w:tcW w:w="0" w:type="auto"/>
            <w:shd w:val="clear" w:color="auto" w:fill="F1F1F1"/>
            <w:vAlign w:val="bottom"/>
            <w:hideMark/>
          </w:tcPr>
          <w:p w14:paraId="0C35F8E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0D9B29A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21</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49A0D8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vAlign w:val="bottom"/>
            <w:hideMark/>
          </w:tcPr>
          <w:p w14:paraId="7505419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65B31AD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18,828</w:t>
            </w:r>
          </w:p>
        </w:tc>
        <w:tc>
          <w:tcPr>
            <w:tcW w:w="0" w:type="auto"/>
            <w:shd w:val="clear" w:color="auto" w:fill="F1F1F1"/>
            <w:vAlign w:val="bottom"/>
            <w:hideMark/>
          </w:tcPr>
          <w:p w14:paraId="231ABA2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vAlign w:val="bottom"/>
            <w:hideMark/>
          </w:tcPr>
          <w:p w14:paraId="5364152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15,502</w:t>
            </w:r>
          </w:p>
        </w:tc>
        <w:tc>
          <w:tcPr>
            <w:tcW w:w="0" w:type="auto"/>
            <w:shd w:val="clear" w:color="auto" w:fill="F1F1F1"/>
            <w:vAlign w:val="bottom"/>
            <w:hideMark/>
          </w:tcPr>
          <w:p w14:paraId="418D433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6358E6C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21</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649A50E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4F9807A1" w14:textId="77777777" w:rsidTr="0053552B">
        <w:trPr>
          <w:jc w:val="center"/>
        </w:trPr>
        <w:tc>
          <w:tcPr>
            <w:tcW w:w="0" w:type="auto"/>
            <w:tcMar>
              <w:top w:w="15" w:type="dxa"/>
              <w:left w:w="300" w:type="dxa"/>
              <w:bottom w:w="15" w:type="dxa"/>
              <w:right w:w="15" w:type="dxa"/>
            </w:tcMar>
            <w:vAlign w:val="bottom"/>
            <w:hideMark/>
          </w:tcPr>
          <w:p w14:paraId="2CD30A5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Auto-Dimming Mirror Units</w:t>
            </w:r>
          </w:p>
        </w:tc>
        <w:tc>
          <w:tcPr>
            <w:tcW w:w="0" w:type="auto"/>
            <w:tcBorders>
              <w:top w:val="single" w:sz="8" w:space="0" w:color="000000"/>
            </w:tcBorders>
            <w:vAlign w:val="bottom"/>
            <w:hideMark/>
          </w:tcPr>
          <w:p w14:paraId="37402BE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12,357</w:t>
            </w:r>
          </w:p>
        </w:tc>
        <w:tc>
          <w:tcPr>
            <w:tcW w:w="0" w:type="auto"/>
            <w:vAlign w:val="bottom"/>
            <w:hideMark/>
          </w:tcPr>
          <w:p w14:paraId="33E132A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6160320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11,004</w:t>
            </w:r>
          </w:p>
        </w:tc>
        <w:tc>
          <w:tcPr>
            <w:tcW w:w="0" w:type="auto"/>
            <w:vAlign w:val="bottom"/>
            <w:hideMark/>
          </w:tcPr>
          <w:p w14:paraId="426C848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5824C8D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12</w:t>
            </w:r>
          </w:p>
        </w:tc>
        <w:tc>
          <w:tcPr>
            <w:tcW w:w="0" w:type="auto"/>
            <w:tcBorders>
              <w:top w:val="single" w:sz="8" w:space="0" w:color="000000"/>
            </w:tcBorders>
            <w:tcMar>
              <w:top w:w="15" w:type="dxa"/>
              <w:left w:w="0" w:type="dxa"/>
              <w:bottom w:w="15" w:type="dxa"/>
              <w:right w:w="15" w:type="dxa"/>
            </w:tcMar>
            <w:vAlign w:val="bottom"/>
            <w:hideMark/>
          </w:tcPr>
          <w:p w14:paraId="1638E65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vAlign w:val="bottom"/>
            <w:hideMark/>
          </w:tcPr>
          <w:p w14:paraId="1FE9B7C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643D1AA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50,596</w:t>
            </w:r>
          </w:p>
        </w:tc>
        <w:tc>
          <w:tcPr>
            <w:tcW w:w="0" w:type="auto"/>
            <w:vAlign w:val="bottom"/>
            <w:hideMark/>
          </w:tcPr>
          <w:p w14:paraId="173430B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vAlign w:val="bottom"/>
            <w:hideMark/>
          </w:tcPr>
          <w:p w14:paraId="483DB13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44,188</w:t>
            </w:r>
          </w:p>
        </w:tc>
        <w:tc>
          <w:tcPr>
            <w:tcW w:w="0" w:type="auto"/>
            <w:vAlign w:val="bottom"/>
            <w:hideMark/>
          </w:tcPr>
          <w:p w14:paraId="01C4C24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745D1CB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w:t>
            </w:r>
          </w:p>
        </w:tc>
        <w:tc>
          <w:tcPr>
            <w:tcW w:w="0" w:type="auto"/>
            <w:tcBorders>
              <w:top w:val="single" w:sz="8" w:space="0" w:color="000000"/>
            </w:tcBorders>
            <w:tcMar>
              <w:top w:w="15" w:type="dxa"/>
              <w:left w:w="0" w:type="dxa"/>
              <w:bottom w:w="15" w:type="dxa"/>
              <w:right w:w="15" w:type="dxa"/>
            </w:tcMar>
            <w:vAlign w:val="bottom"/>
            <w:hideMark/>
          </w:tcPr>
          <w:p w14:paraId="33228D6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bl>
    <w:p w14:paraId="16698974"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w:t>
      </w:r>
      <w:r w:rsidRPr="0053552B">
        <w:rPr>
          <w:rFonts w:ascii="Verdana" w:eastAsia="Times New Roman" w:hAnsi="Verdana" w:cs="Times New Roman"/>
          <w:i/>
          <w:iCs/>
          <w:color w:val="0A0A0A"/>
          <w:kern w:val="0"/>
          <w:sz w:val="24"/>
          <w:szCs w:val="24"/>
          <w14:ligatures w14:val="none"/>
        </w:rPr>
        <w:t>Note: Percent change and amounts may not total due to rounding.</w:t>
      </w:r>
    </w:p>
    <w:p w14:paraId="69CAD213"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i/>
          <w:iCs/>
          <w:color w:val="0A0A0A"/>
          <w:kern w:val="0"/>
          <w:sz w:val="24"/>
          <w:szCs w:val="24"/>
          <w14:ligatures w14:val="none"/>
        </w:rPr>
        <w:t> </w:t>
      </w:r>
    </w:p>
    <w:tbl>
      <w:tblPr>
        <w:tblW w:w="15630" w:type="dxa"/>
        <w:jc w:val="center"/>
        <w:tblCellMar>
          <w:top w:w="15" w:type="dxa"/>
          <w:left w:w="15" w:type="dxa"/>
          <w:bottom w:w="15" w:type="dxa"/>
          <w:right w:w="15" w:type="dxa"/>
        </w:tblCellMar>
        <w:tblLook w:val="04A0" w:firstRow="1" w:lastRow="0" w:firstColumn="1" w:lastColumn="0" w:noHBand="0" w:noVBand="1"/>
      </w:tblPr>
      <w:tblGrid>
        <w:gridCol w:w="5890"/>
        <w:gridCol w:w="204"/>
        <w:gridCol w:w="2020"/>
        <w:gridCol w:w="173"/>
        <w:gridCol w:w="204"/>
        <w:gridCol w:w="2020"/>
        <w:gridCol w:w="151"/>
        <w:gridCol w:w="198"/>
        <w:gridCol w:w="2125"/>
        <w:gridCol w:w="168"/>
        <w:gridCol w:w="198"/>
        <w:gridCol w:w="2107"/>
        <w:gridCol w:w="172"/>
      </w:tblGrid>
      <w:tr w:rsidR="0053552B" w:rsidRPr="0053552B" w14:paraId="4007B165" w14:textId="77777777" w:rsidTr="0053552B">
        <w:trPr>
          <w:jc w:val="center"/>
        </w:trPr>
        <w:tc>
          <w:tcPr>
            <w:tcW w:w="0" w:type="auto"/>
            <w:gridSpan w:val="13"/>
            <w:vAlign w:val="bottom"/>
            <w:hideMark/>
          </w:tcPr>
          <w:p w14:paraId="24E9FFD1"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GENTEX CORPORATION AND SUBSIDIARIES</w:t>
            </w:r>
          </w:p>
        </w:tc>
      </w:tr>
      <w:tr w:rsidR="0053552B" w:rsidRPr="0053552B" w14:paraId="1C0673A1" w14:textId="77777777" w:rsidTr="0053552B">
        <w:trPr>
          <w:jc w:val="center"/>
        </w:trPr>
        <w:tc>
          <w:tcPr>
            <w:tcW w:w="0" w:type="auto"/>
            <w:gridSpan w:val="13"/>
            <w:shd w:val="clear" w:color="auto" w:fill="F1F1F1"/>
            <w:vAlign w:val="bottom"/>
            <w:hideMark/>
          </w:tcPr>
          <w:p w14:paraId="022D3993"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CONDENSED CONSOLIDATED STATEMENTS OF INCOME</w:t>
            </w:r>
          </w:p>
        </w:tc>
      </w:tr>
      <w:tr w:rsidR="0053552B" w:rsidRPr="0053552B" w14:paraId="7F1B4711" w14:textId="77777777" w:rsidTr="0053552B">
        <w:trPr>
          <w:jc w:val="center"/>
        </w:trPr>
        <w:tc>
          <w:tcPr>
            <w:tcW w:w="0" w:type="auto"/>
            <w:gridSpan w:val="13"/>
            <w:vAlign w:val="bottom"/>
            <w:hideMark/>
          </w:tcPr>
          <w:p w14:paraId="3E8E95F2"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(Unaudited)</w:t>
            </w:r>
          </w:p>
        </w:tc>
      </w:tr>
      <w:tr w:rsidR="0053552B" w:rsidRPr="0053552B" w14:paraId="27143959" w14:textId="77777777" w:rsidTr="0053552B">
        <w:trPr>
          <w:jc w:val="center"/>
        </w:trPr>
        <w:tc>
          <w:tcPr>
            <w:tcW w:w="0" w:type="auto"/>
            <w:gridSpan w:val="13"/>
            <w:shd w:val="clear" w:color="auto" w:fill="F1F1F1"/>
            <w:vAlign w:val="bottom"/>
            <w:hideMark/>
          </w:tcPr>
          <w:p w14:paraId="5482556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D41DF5A" w14:textId="77777777" w:rsidTr="0053552B">
        <w:trPr>
          <w:jc w:val="center"/>
        </w:trPr>
        <w:tc>
          <w:tcPr>
            <w:tcW w:w="0" w:type="auto"/>
            <w:vAlign w:val="bottom"/>
            <w:hideMark/>
          </w:tcPr>
          <w:p w14:paraId="4DE8E3B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5"/>
            <w:vAlign w:val="bottom"/>
            <w:hideMark/>
          </w:tcPr>
          <w:p w14:paraId="7A75FD1C"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Three Months Ended December 31,</w:t>
            </w:r>
          </w:p>
        </w:tc>
        <w:tc>
          <w:tcPr>
            <w:tcW w:w="0" w:type="auto"/>
            <w:vAlign w:val="bottom"/>
            <w:hideMark/>
          </w:tcPr>
          <w:p w14:paraId="1B7C1C8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6"/>
            <w:vAlign w:val="bottom"/>
            <w:hideMark/>
          </w:tcPr>
          <w:p w14:paraId="035E21C3"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br/>
            </w:r>
            <w:r w:rsidRPr="0053552B">
              <w:rPr>
                <w:rFonts w:ascii="Verdana" w:eastAsia="Times New Roman" w:hAnsi="Verdana" w:cs="Times New Roman"/>
                <w:b/>
                <w:bCs/>
                <w:kern w:val="0"/>
                <w:sz w:val="24"/>
                <w:szCs w:val="24"/>
                <w14:ligatures w14:val="none"/>
              </w:rPr>
              <w:t>Twelve Months ended December 31,</w:t>
            </w:r>
          </w:p>
        </w:tc>
      </w:tr>
      <w:tr w:rsidR="0053552B" w:rsidRPr="0053552B" w14:paraId="66421F8B" w14:textId="77777777" w:rsidTr="0053552B">
        <w:trPr>
          <w:jc w:val="center"/>
        </w:trPr>
        <w:tc>
          <w:tcPr>
            <w:tcW w:w="7499" w:type="dxa"/>
            <w:shd w:val="clear" w:color="auto" w:fill="F1F1F1"/>
            <w:vAlign w:val="bottom"/>
            <w:hideMark/>
          </w:tcPr>
          <w:p w14:paraId="73224B4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56" w:type="dxa"/>
            <w:tcBorders>
              <w:bottom w:val="single" w:sz="8" w:space="0" w:color="000000"/>
            </w:tcBorders>
            <w:shd w:val="clear" w:color="auto" w:fill="F1F1F1"/>
            <w:tcMar>
              <w:top w:w="15" w:type="dxa"/>
              <w:left w:w="15" w:type="dxa"/>
              <w:bottom w:w="15" w:type="dxa"/>
              <w:right w:w="0" w:type="dxa"/>
            </w:tcMar>
            <w:vAlign w:val="bottom"/>
            <w:hideMark/>
          </w:tcPr>
          <w:p w14:paraId="05AF870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718" w:type="dxa"/>
            <w:tcBorders>
              <w:bottom w:val="single" w:sz="8" w:space="0" w:color="000000"/>
            </w:tcBorders>
            <w:shd w:val="clear" w:color="auto" w:fill="F1F1F1"/>
            <w:tcMar>
              <w:top w:w="15" w:type="dxa"/>
              <w:left w:w="0" w:type="dxa"/>
              <w:bottom w:w="15" w:type="dxa"/>
              <w:right w:w="15" w:type="dxa"/>
            </w:tcMar>
            <w:vAlign w:val="bottom"/>
            <w:hideMark/>
          </w:tcPr>
          <w:p w14:paraId="39DB6737"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2023</w:t>
            </w:r>
          </w:p>
        </w:tc>
        <w:tc>
          <w:tcPr>
            <w:tcW w:w="156" w:type="dxa"/>
            <w:tcBorders>
              <w:bottom w:val="single" w:sz="8" w:space="0" w:color="000000"/>
            </w:tcBorders>
            <w:shd w:val="clear" w:color="auto" w:fill="F1F1F1"/>
            <w:vAlign w:val="bottom"/>
            <w:hideMark/>
          </w:tcPr>
          <w:p w14:paraId="31137CC0"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56" w:type="dxa"/>
            <w:tcBorders>
              <w:bottom w:val="single" w:sz="8" w:space="0" w:color="000000"/>
            </w:tcBorders>
            <w:shd w:val="clear" w:color="auto" w:fill="F1F1F1"/>
            <w:tcMar>
              <w:top w:w="15" w:type="dxa"/>
              <w:left w:w="15" w:type="dxa"/>
              <w:bottom w:w="15" w:type="dxa"/>
              <w:right w:w="0" w:type="dxa"/>
            </w:tcMar>
            <w:vAlign w:val="bottom"/>
            <w:hideMark/>
          </w:tcPr>
          <w:p w14:paraId="53A5AE6F"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718" w:type="dxa"/>
            <w:tcBorders>
              <w:bottom w:val="single" w:sz="8" w:space="0" w:color="000000"/>
            </w:tcBorders>
            <w:shd w:val="clear" w:color="auto" w:fill="F1F1F1"/>
            <w:tcMar>
              <w:top w:w="15" w:type="dxa"/>
              <w:left w:w="0" w:type="dxa"/>
              <w:bottom w:w="15" w:type="dxa"/>
              <w:right w:w="15" w:type="dxa"/>
            </w:tcMar>
            <w:vAlign w:val="bottom"/>
            <w:hideMark/>
          </w:tcPr>
          <w:p w14:paraId="1621CC9E"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2022</w:t>
            </w:r>
          </w:p>
        </w:tc>
        <w:tc>
          <w:tcPr>
            <w:tcW w:w="156" w:type="dxa"/>
            <w:shd w:val="clear" w:color="auto" w:fill="F1F1F1"/>
            <w:vAlign w:val="bottom"/>
            <w:hideMark/>
          </w:tcPr>
          <w:p w14:paraId="29B37948"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56" w:type="dxa"/>
            <w:tcBorders>
              <w:bottom w:val="single" w:sz="8" w:space="0" w:color="000000"/>
            </w:tcBorders>
            <w:shd w:val="clear" w:color="auto" w:fill="F1F1F1"/>
            <w:tcMar>
              <w:top w:w="15" w:type="dxa"/>
              <w:left w:w="15" w:type="dxa"/>
              <w:bottom w:w="15" w:type="dxa"/>
              <w:right w:w="0" w:type="dxa"/>
            </w:tcMar>
            <w:vAlign w:val="bottom"/>
            <w:hideMark/>
          </w:tcPr>
          <w:p w14:paraId="65407541"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718" w:type="dxa"/>
            <w:tcBorders>
              <w:bottom w:val="single" w:sz="8" w:space="0" w:color="000000"/>
            </w:tcBorders>
            <w:shd w:val="clear" w:color="auto" w:fill="F1F1F1"/>
            <w:tcMar>
              <w:top w:w="15" w:type="dxa"/>
              <w:left w:w="0" w:type="dxa"/>
              <w:bottom w:w="15" w:type="dxa"/>
              <w:right w:w="15" w:type="dxa"/>
            </w:tcMar>
            <w:vAlign w:val="bottom"/>
            <w:hideMark/>
          </w:tcPr>
          <w:p w14:paraId="74DF1DFE"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2023</w:t>
            </w:r>
          </w:p>
        </w:tc>
        <w:tc>
          <w:tcPr>
            <w:tcW w:w="156" w:type="dxa"/>
            <w:tcBorders>
              <w:bottom w:val="single" w:sz="8" w:space="0" w:color="000000"/>
            </w:tcBorders>
            <w:shd w:val="clear" w:color="auto" w:fill="F1F1F1"/>
            <w:vAlign w:val="bottom"/>
            <w:hideMark/>
          </w:tcPr>
          <w:p w14:paraId="2E8EA23E"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56" w:type="dxa"/>
            <w:tcBorders>
              <w:bottom w:val="single" w:sz="8" w:space="0" w:color="000000"/>
            </w:tcBorders>
            <w:shd w:val="clear" w:color="auto" w:fill="F1F1F1"/>
            <w:tcMar>
              <w:top w:w="15" w:type="dxa"/>
              <w:left w:w="15" w:type="dxa"/>
              <w:bottom w:w="15" w:type="dxa"/>
              <w:right w:w="0" w:type="dxa"/>
            </w:tcMar>
            <w:vAlign w:val="bottom"/>
            <w:hideMark/>
          </w:tcPr>
          <w:p w14:paraId="30F2FFDD"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718" w:type="dxa"/>
            <w:tcBorders>
              <w:bottom w:val="single" w:sz="8" w:space="0" w:color="000000"/>
            </w:tcBorders>
            <w:shd w:val="clear" w:color="auto" w:fill="F1F1F1"/>
            <w:tcMar>
              <w:top w:w="15" w:type="dxa"/>
              <w:left w:w="0" w:type="dxa"/>
              <w:bottom w:w="15" w:type="dxa"/>
              <w:right w:w="0" w:type="dxa"/>
            </w:tcMar>
            <w:vAlign w:val="bottom"/>
            <w:hideMark/>
          </w:tcPr>
          <w:p w14:paraId="754E84DE"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2022</w:t>
            </w:r>
          </w:p>
        </w:tc>
        <w:tc>
          <w:tcPr>
            <w:tcW w:w="157" w:type="dxa"/>
            <w:tcBorders>
              <w:bottom w:val="single" w:sz="8" w:space="0" w:color="000000"/>
            </w:tcBorders>
            <w:shd w:val="clear" w:color="auto" w:fill="F1F1F1"/>
            <w:tcMar>
              <w:top w:w="15" w:type="dxa"/>
              <w:left w:w="0" w:type="dxa"/>
              <w:bottom w:w="15" w:type="dxa"/>
              <w:right w:w="15" w:type="dxa"/>
            </w:tcMar>
            <w:vAlign w:val="bottom"/>
            <w:hideMark/>
          </w:tcPr>
          <w:p w14:paraId="604C32B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6879F69D" w14:textId="77777777" w:rsidTr="0053552B">
        <w:trPr>
          <w:jc w:val="center"/>
        </w:trPr>
        <w:tc>
          <w:tcPr>
            <w:tcW w:w="0" w:type="auto"/>
            <w:vAlign w:val="bottom"/>
            <w:hideMark/>
          </w:tcPr>
          <w:p w14:paraId="11C116E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Net Sales</w:t>
            </w:r>
          </w:p>
        </w:tc>
        <w:tc>
          <w:tcPr>
            <w:tcW w:w="0" w:type="auto"/>
            <w:tcBorders>
              <w:top w:val="single" w:sz="8" w:space="0" w:color="000000"/>
            </w:tcBorders>
            <w:tcMar>
              <w:top w:w="15" w:type="dxa"/>
              <w:left w:w="15" w:type="dxa"/>
              <w:bottom w:w="15" w:type="dxa"/>
              <w:right w:w="0" w:type="dxa"/>
            </w:tcMar>
            <w:vAlign w:val="bottom"/>
            <w:hideMark/>
          </w:tcPr>
          <w:p w14:paraId="3797611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4575C29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589,132,396</w:t>
            </w:r>
          </w:p>
        </w:tc>
        <w:tc>
          <w:tcPr>
            <w:tcW w:w="0" w:type="auto"/>
            <w:tcBorders>
              <w:top w:val="single" w:sz="8" w:space="0" w:color="000000"/>
            </w:tcBorders>
            <w:vAlign w:val="bottom"/>
            <w:hideMark/>
          </w:tcPr>
          <w:p w14:paraId="51B817D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1E786BC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0CCB79C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493,647,571</w:t>
            </w:r>
          </w:p>
        </w:tc>
        <w:tc>
          <w:tcPr>
            <w:tcW w:w="0" w:type="auto"/>
            <w:vAlign w:val="bottom"/>
            <w:hideMark/>
          </w:tcPr>
          <w:p w14:paraId="750A870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2FEAEDF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62B6D44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2,299,215,044</w:t>
            </w:r>
          </w:p>
        </w:tc>
        <w:tc>
          <w:tcPr>
            <w:tcW w:w="0" w:type="auto"/>
            <w:tcBorders>
              <w:top w:val="single" w:sz="8" w:space="0" w:color="000000"/>
            </w:tcBorders>
            <w:vAlign w:val="bottom"/>
            <w:hideMark/>
          </w:tcPr>
          <w:p w14:paraId="1AFB45B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34AE831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0" w:type="dxa"/>
            </w:tcMar>
            <w:vAlign w:val="bottom"/>
            <w:hideMark/>
          </w:tcPr>
          <w:p w14:paraId="25E76AF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1,918,958,043</w:t>
            </w:r>
          </w:p>
        </w:tc>
        <w:tc>
          <w:tcPr>
            <w:tcW w:w="0" w:type="auto"/>
            <w:tcBorders>
              <w:top w:val="single" w:sz="8" w:space="0" w:color="000000"/>
            </w:tcBorders>
            <w:tcMar>
              <w:top w:w="15" w:type="dxa"/>
              <w:left w:w="0" w:type="dxa"/>
              <w:bottom w:w="15" w:type="dxa"/>
              <w:right w:w="15" w:type="dxa"/>
            </w:tcMar>
            <w:vAlign w:val="bottom"/>
            <w:hideMark/>
          </w:tcPr>
          <w:p w14:paraId="39FE366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DEBF9A0" w14:textId="77777777" w:rsidTr="0053552B">
        <w:trPr>
          <w:jc w:val="center"/>
        </w:trPr>
        <w:tc>
          <w:tcPr>
            <w:tcW w:w="0" w:type="auto"/>
            <w:shd w:val="clear" w:color="auto" w:fill="F1F1F1"/>
            <w:tcMar>
              <w:top w:w="15" w:type="dxa"/>
              <w:left w:w="225" w:type="dxa"/>
              <w:bottom w:w="15" w:type="dxa"/>
              <w:right w:w="15" w:type="dxa"/>
            </w:tcMar>
            <w:vAlign w:val="bottom"/>
            <w:hideMark/>
          </w:tcPr>
          <w:p w14:paraId="29F6E62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Cost of Goods Sold</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7FE7A54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74BC897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385,763,291</w:t>
            </w:r>
          </w:p>
        </w:tc>
        <w:tc>
          <w:tcPr>
            <w:tcW w:w="0" w:type="auto"/>
            <w:shd w:val="clear" w:color="auto" w:fill="F1F1F1"/>
            <w:vAlign w:val="bottom"/>
            <w:hideMark/>
          </w:tcPr>
          <w:p w14:paraId="7FF2204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06CDF8E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26D1673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339,813,384</w:t>
            </w:r>
          </w:p>
        </w:tc>
        <w:tc>
          <w:tcPr>
            <w:tcW w:w="0" w:type="auto"/>
            <w:shd w:val="clear" w:color="auto" w:fill="F1F1F1"/>
            <w:vAlign w:val="bottom"/>
            <w:hideMark/>
          </w:tcPr>
          <w:p w14:paraId="4A70970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5C5E7AF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2F9F97D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1,536,585,036</w:t>
            </w:r>
          </w:p>
        </w:tc>
        <w:tc>
          <w:tcPr>
            <w:tcW w:w="0" w:type="auto"/>
            <w:shd w:val="clear" w:color="auto" w:fill="F1F1F1"/>
            <w:vAlign w:val="bottom"/>
            <w:hideMark/>
          </w:tcPr>
          <w:p w14:paraId="1890EB9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0AAB13E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0" w:type="dxa"/>
            </w:tcMar>
            <w:vAlign w:val="bottom"/>
            <w:hideMark/>
          </w:tcPr>
          <w:p w14:paraId="6027CED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1,309,143,858</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723748A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15460344" w14:textId="77777777" w:rsidTr="0053552B">
        <w:trPr>
          <w:jc w:val="center"/>
        </w:trPr>
        <w:tc>
          <w:tcPr>
            <w:tcW w:w="0" w:type="auto"/>
            <w:tcMar>
              <w:top w:w="15" w:type="dxa"/>
              <w:left w:w="300" w:type="dxa"/>
              <w:bottom w:w="15" w:type="dxa"/>
              <w:right w:w="15" w:type="dxa"/>
            </w:tcMar>
            <w:vAlign w:val="bottom"/>
            <w:hideMark/>
          </w:tcPr>
          <w:p w14:paraId="70D454C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Gross profit</w:t>
            </w:r>
          </w:p>
        </w:tc>
        <w:tc>
          <w:tcPr>
            <w:tcW w:w="0" w:type="auto"/>
            <w:tcBorders>
              <w:top w:val="single" w:sz="8" w:space="0" w:color="000000"/>
            </w:tcBorders>
            <w:tcMar>
              <w:top w:w="15" w:type="dxa"/>
              <w:left w:w="15" w:type="dxa"/>
              <w:bottom w:w="15" w:type="dxa"/>
              <w:right w:w="0" w:type="dxa"/>
            </w:tcMar>
            <w:vAlign w:val="bottom"/>
            <w:hideMark/>
          </w:tcPr>
          <w:p w14:paraId="1CC628F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791E8C8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203,369,105</w:t>
            </w:r>
          </w:p>
        </w:tc>
        <w:tc>
          <w:tcPr>
            <w:tcW w:w="0" w:type="auto"/>
            <w:vAlign w:val="bottom"/>
            <w:hideMark/>
          </w:tcPr>
          <w:p w14:paraId="2402207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00A42DC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357DF0A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153,834,187</w:t>
            </w:r>
          </w:p>
        </w:tc>
        <w:tc>
          <w:tcPr>
            <w:tcW w:w="0" w:type="auto"/>
            <w:vAlign w:val="bottom"/>
            <w:hideMark/>
          </w:tcPr>
          <w:p w14:paraId="3B85448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02A3C86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604B5EC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762,630,008</w:t>
            </w:r>
          </w:p>
        </w:tc>
        <w:tc>
          <w:tcPr>
            <w:tcW w:w="0" w:type="auto"/>
            <w:vAlign w:val="bottom"/>
            <w:hideMark/>
          </w:tcPr>
          <w:p w14:paraId="467F9F7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2916227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0" w:type="dxa"/>
            </w:tcMar>
            <w:vAlign w:val="bottom"/>
            <w:hideMark/>
          </w:tcPr>
          <w:p w14:paraId="51347DC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609,814,185</w:t>
            </w:r>
          </w:p>
        </w:tc>
        <w:tc>
          <w:tcPr>
            <w:tcW w:w="0" w:type="auto"/>
            <w:tcBorders>
              <w:top w:val="single" w:sz="8" w:space="0" w:color="000000"/>
            </w:tcBorders>
            <w:tcMar>
              <w:top w:w="15" w:type="dxa"/>
              <w:left w:w="0" w:type="dxa"/>
              <w:bottom w:w="15" w:type="dxa"/>
              <w:right w:w="15" w:type="dxa"/>
            </w:tcMar>
            <w:vAlign w:val="bottom"/>
            <w:hideMark/>
          </w:tcPr>
          <w:p w14:paraId="65CA19A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B2182A1" w14:textId="77777777" w:rsidTr="0053552B">
        <w:trPr>
          <w:jc w:val="center"/>
        </w:trPr>
        <w:tc>
          <w:tcPr>
            <w:tcW w:w="0" w:type="auto"/>
            <w:shd w:val="clear" w:color="auto" w:fill="F1F1F1"/>
            <w:vAlign w:val="bottom"/>
            <w:hideMark/>
          </w:tcPr>
          <w:p w14:paraId="39F8100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7C8B016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7BC2B7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780A2BF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3944A1C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18FF386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122434A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shd w:val="clear" w:color="auto" w:fill="F1F1F1"/>
            <w:vAlign w:val="bottom"/>
            <w:hideMark/>
          </w:tcPr>
          <w:p w14:paraId="1204544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9A100B8" w14:textId="77777777" w:rsidTr="0053552B">
        <w:trPr>
          <w:jc w:val="center"/>
        </w:trPr>
        <w:tc>
          <w:tcPr>
            <w:tcW w:w="0" w:type="auto"/>
            <w:tcMar>
              <w:top w:w="15" w:type="dxa"/>
              <w:left w:w="225" w:type="dxa"/>
              <w:bottom w:w="15" w:type="dxa"/>
              <w:right w:w="15" w:type="dxa"/>
            </w:tcMar>
            <w:vAlign w:val="bottom"/>
            <w:hideMark/>
          </w:tcPr>
          <w:p w14:paraId="5F9D30B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Engineering, Research &amp; Development</w:t>
            </w:r>
          </w:p>
        </w:tc>
        <w:tc>
          <w:tcPr>
            <w:tcW w:w="0" w:type="auto"/>
            <w:tcMar>
              <w:top w:w="15" w:type="dxa"/>
              <w:left w:w="15" w:type="dxa"/>
              <w:bottom w:w="15" w:type="dxa"/>
              <w:right w:w="0" w:type="dxa"/>
            </w:tcMar>
            <w:vAlign w:val="bottom"/>
            <w:hideMark/>
          </w:tcPr>
          <w:p w14:paraId="2C63526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795CCC1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41,534,646</w:t>
            </w:r>
          </w:p>
        </w:tc>
        <w:tc>
          <w:tcPr>
            <w:tcW w:w="0" w:type="auto"/>
            <w:vAlign w:val="bottom"/>
            <w:hideMark/>
          </w:tcPr>
          <w:p w14:paraId="780DD78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4611719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263E8B5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34,935,068</w:t>
            </w:r>
          </w:p>
        </w:tc>
        <w:tc>
          <w:tcPr>
            <w:tcW w:w="0" w:type="auto"/>
            <w:vAlign w:val="bottom"/>
            <w:hideMark/>
          </w:tcPr>
          <w:p w14:paraId="48743CE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2E5161E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0324C72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154,359,700</w:t>
            </w:r>
          </w:p>
        </w:tc>
        <w:tc>
          <w:tcPr>
            <w:tcW w:w="0" w:type="auto"/>
            <w:vAlign w:val="bottom"/>
            <w:hideMark/>
          </w:tcPr>
          <w:p w14:paraId="34F9423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596F0FE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0" w:type="dxa"/>
            </w:tcMar>
            <w:vAlign w:val="bottom"/>
            <w:hideMark/>
          </w:tcPr>
          <w:p w14:paraId="14C1F76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133,308,804</w:t>
            </w:r>
          </w:p>
        </w:tc>
        <w:tc>
          <w:tcPr>
            <w:tcW w:w="0" w:type="auto"/>
            <w:tcMar>
              <w:top w:w="15" w:type="dxa"/>
              <w:left w:w="0" w:type="dxa"/>
              <w:bottom w:w="15" w:type="dxa"/>
              <w:right w:w="15" w:type="dxa"/>
            </w:tcMar>
            <w:vAlign w:val="bottom"/>
            <w:hideMark/>
          </w:tcPr>
          <w:p w14:paraId="703DB04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7636447A" w14:textId="77777777" w:rsidTr="0053552B">
        <w:trPr>
          <w:jc w:val="center"/>
        </w:trPr>
        <w:tc>
          <w:tcPr>
            <w:tcW w:w="0" w:type="auto"/>
            <w:shd w:val="clear" w:color="auto" w:fill="F1F1F1"/>
            <w:tcMar>
              <w:top w:w="15" w:type="dxa"/>
              <w:left w:w="225" w:type="dxa"/>
              <w:bottom w:w="15" w:type="dxa"/>
              <w:right w:w="15" w:type="dxa"/>
            </w:tcMar>
            <w:vAlign w:val="bottom"/>
            <w:hideMark/>
          </w:tcPr>
          <w:p w14:paraId="00A553D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Selling, General &amp; Administrative</w:t>
            </w:r>
          </w:p>
        </w:tc>
        <w:tc>
          <w:tcPr>
            <w:tcW w:w="0" w:type="auto"/>
            <w:shd w:val="clear" w:color="auto" w:fill="F1F1F1"/>
            <w:tcMar>
              <w:top w:w="15" w:type="dxa"/>
              <w:left w:w="15" w:type="dxa"/>
              <w:bottom w:w="15" w:type="dxa"/>
              <w:right w:w="0" w:type="dxa"/>
            </w:tcMar>
            <w:vAlign w:val="bottom"/>
            <w:hideMark/>
          </w:tcPr>
          <w:p w14:paraId="618CF22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7733C19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29,059,971</w:t>
            </w:r>
          </w:p>
        </w:tc>
        <w:tc>
          <w:tcPr>
            <w:tcW w:w="0" w:type="auto"/>
            <w:shd w:val="clear" w:color="auto" w:fill="F1F1F1"/>
            <w:vAlign w:val="bottom"/>
            <w:hideMark/>
          </w:tcPr>
          <w:p w14:paraId="17961B2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749CF05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43BD7B3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24,781,407</w:t>
            </w:r>
          </w:p>
        </w:tc>
        <w:tc>
          <w:tcPr>
            <w:tcW w:w="0" w:type="auto"/>
            <w:shd w:val="clear" w:color="auto" w:fill="F1F1F1"/>
            <w:vAlign w:val="bottom"/>
            <w:hideMark/>
          </w:tcPr>
          <w:p w14:paraId="572CFAF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73A4DDF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16E395A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112,539,255</w:t>
            </w:r>
          </w:p>
        </w:tc>
        <w:tc>
          <w:tcPr>
            <w:tcW w:w="0" w:type="auto"/>
            <w:shd w:val="clear" w:color="auto" w:fill="F1F1F1"/>
            <w:vAlign w:val="bottom"/>
            <w:hideMark/>
          </w:tcPr>
          <w:p w14:paraId="33F13AE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486D86D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0" w:type="dxa"/>
            </w:tcMar>
            <w:vAlign w:val="bottom"/>
            <w:hideMark/>
          </w:tcPr>
          <w:p w14:paraId="2CDA8E3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106,499,255</w:t>
            </w:r>
          </w:p>
        </w:tc>
        <w:tc>
          <w:tcPr>
            <w:tcW w:w="0" w:type="auto"/>
            <w:shd w:val="clear" w:color="auto" w:fill="F1F1F1"/>
            <w:tcMar>
              <w:top w:w="15" w:type="dxa"/>
              <w:left w:w="0" w:type="dxa"/>
              <w:bottom w:w="15" w:type="dxa"/>
              <w:right w:w="15" w:type="dxa"/>
            </w:tcMar>
            <w:vAlign w:val="bottom"/>
            <w:hideMark/>
          </w:tcPr>
          <w:p w14:paraId="578DCE7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70B29744" w14:textId="77777777" w:rsidTr="0053552B">
        <w:trPr>
          <w:jc w:val="center"/>
        </w:trPr>
        <w:tc>
          <w:tcPr>
            <w:tcW w:w="0" w:type="auto"/>
            <w:tcMar>
              <w:top w:w="15" w:type="dxa"/>
              <w:left w:w="225" w:type="dxa"/>
              <w:bottom w:w="15" w:type="dxa"/>
              <w:right w:w="15" w:type="dxa"/>
            </w:tcMar>
            <w:vAlign w:val="bottom"/>
            <w:hideMark/>
          </w:tcPr>
          <w:p w14:paraId="1AEE04B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Income from operations</w:t>
            </w:r>
          </w:p>
        </w:tc>
        <w:tc>
          <w:tcPr>
            <w:tcW w:w="0" w:type="auto"/>
            <w:tcBorders>
              <w:top w:val="single" w:sz="8" w:space="0" w:color="000000"/>
            </w:tcBorders>
            <w:tcMar>
              <w:top w:w="15" w:type="dxa"/>
              <w:left w:w="15" w:type="dxa"/>
              <w:bottom w:w="15" w:type="dxa"/>
              <w:right w:w="0" w:type="dxa"/>
            </w:tcMar>
            <w:vAlign w:val="bottom"/>
            <w:hideMark/>
          </w:tcPr>
          <w:p w14:paraId="3836C44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2813D62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132,774,488</w:t>
            </w:r>
          </w:p>
        </w:tc>
        <w:tc>
          <w:tcPr>
            <w:tcW w:w="0" w:type="auto"/>
            <w:vAlign w:val="bottom"/>
            <w:hideMark/>
          </w:tcPr>
          <w:p w14:paraId="1C0C005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1375155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0DBFA1D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94,117,712</w:t>
            </w:r>
          </w:p>
        </w:tc>
        <w:tc>
          <w:tcPr>
            <w:tcW w:w="0" w:type="auto"/>
            <w:vAlign w:val="bottom"/>
            <w:hideMark/>
          </w:tcPr>
          <w:p w14:paraId="0BB1622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2F0FDF0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0EEB7CA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495,731,053</w:t>
            </w:r>
          </w:p>
        </w:tc>
        <w:tc>
          <w:tcPr>
            <w:tcW w:w="0" w:type="auto"/>
            <w:vAlign w:val="bottom"/>
            <w:hideMark/>
          </w:tcPr>
          <w:p w14:paraId="7B1A41E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395FF57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0" w:type="dxa"/>
            </w:tcMar>
            <w:vAlign w:val="bottom"/>
            <w:hideMark/>
          </w:tcPr>
          <w:p w14:paraId="3158C47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370,006,126</w:t>
            </w:r>
          </w:p>
        </w:tc>
        <w:tc>
          <w:tcPr>
            <w:tcW w:w="0" w:type="auto"/>
            <w:tcBorders>
              <w:top w:val="single" w:sz="8" w:space="0" w:color="000000"/>
            </w:tcBorders>
            <w:tcMar>
              <w:top w:w="15" w:type="dxa"/>
              <w:left w:w="0" w:type="dxa"/>
              <w:bottom w:w="15" w:type="dxa"/>
              <w:right w:w="15" w:type="dxa"/>
            </w:tcMar>
            <w:vAlign w:val="bottom"/>
            <w:hideMark/>
          </w:tcPr>
          <w:p w14:paraId="3575510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5D914C23" w14:textId="77777777" w:rsidTr="0053552B">
        <w:trPr>
          <w:jc w:val="center"/>
        </w:trPr>
        <w:tc>
          <w:tcPr>
            <w:tcW w:w="0" w:type="auto"/>
            <w:shd w:val="clear" w:color="auto" w:fill="F1F1F1"/>
            <w:vAlign w:val="bottom"/>
            <w:hideMark/>
          </w:tcPr>
          <w:p w14:paraId="0E61F31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5EB81FC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58A7443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23F1040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7033E7F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1256D8C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28C63ED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bottom w:val="single" w:sz="8" w:space="0" w:color="000000"/>
            </w:tcBorders>
            <w:shd w:val="clear" w:color="auto" w:fill="F1F1F1"/>
            <w:vAlign w:val="bottom"/>
            <w:hideMark/>
          </w:tcPr>
          <w:p w14:paraId="586609C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0EDBDA6" w14:textId="77777777" w:rsidTr="0053552B">
        <w:trPr>
          <w:jc w:val="center"/>
        </w:trPr>
        <w:tc>
          <w:tcPr>
            <w:tcW w:w="0" w:type="auto"/>
            <w:tcMar>
              <w:top w:w="15" w:type="dxa"/>
              <w:left w:w="225" w:type="dxa"/>
              <w:bottom w:w="15" w:type="dxa"/>
              <w:right w:w="15" w:type="dxa"/>
            </w:tcMar>
            <w:vAlign w:val="bottom"/>
            <w:hideMark/>
          </w:tcPr>
          <w:p w14:paraId="2A22D3C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Other Income</w:t>
            </w:r>
          </w:p>
        </w:tc>
        <w:tc>
          <w:tcPr>
            <w:tcW w:w="0" w:type="auto"/>
            <w:tcBorders>
              <w:top w:val="single" w:sz="8" w:space="0" w:color="000000"/>
              <w:bottom w:val="single" w:sz="8" w:space="0" w:color="000000"/>
            </w:tcBorders>
            <w:tcMar>
              <w:top w:w="15" w:type="dxa"/>
              <w:left w:w="15" w:type="dxa"/>
              <w:bottom w:w="15" w:type="dxa"/>
              <w:right w:w="0" w:type="dxa"/>
            </w:tcMar>
            <w:vAlign w:val="bottom"/>
            <w:hideMark/>
          </w:tcPr>
          <w:p w14:paraId="1524275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0" w:type="dxa"/>
              <w:bottom w:w="15" w:type="dxa"/>
              <w:right w:w="15" w:type="dxa"/>
            </w:tcMar>
            <w:vAlign w:val="bottom"/>
            <w:hideMark/>
          </w:tcPr>
          <w:p w14:paraId="2705A2C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3,127,638</w:t>
            </w:r>
          </w:p>
        </w:tc>
        <w:tc>
          <w:tcPr>
            <w:tcW w:w="0" w:type="auto"/>
            <w:vAlign w:val="bottom"/>
            <w:hideMark/>
          </w:tcPr>
          <w:p w14:paraId="1E4256E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15" w:type="dxa"/>
              <w:bottom w:w="15" w:type="dxa"/>
              <w:right w:w="0" w:type="dxa"/>
            </w:tcMar>
            <w:vAlign w:val="bottom"/>
            <w:hideMark/>
          </w:tcPr>
          <w:p w14:paraId="720DA97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0" w:type="dxa"/>
              <w:bottom w:w="15" w:type="dxa"/>
              <w:right w:w="15" w:type="dxa"/>
            </w:tcMar>
            <w:vAlign w:val="bottom"/>
            <w:hideMark/>
          </w:tcPr>
          <w:p w14:paraId="112C607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1,339,617</w:t>
            </w:r>
          </w:p>
        </w:tc>
        <w:tc>
          <w:tcPr>
            <w:tcW w:w="0" w:type="auto"/>
            <w:vAlign w:val="bottom"/>
            <w:hideMark/>
          </w:tcPr>
          <w:p w14:paraId="6E7D0A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15" w:type="dxa"/>
              <w:bottom w:w="15" w:type="dxa"/>
              <w:right w:w="0" w:type="dxa"/>
            </w:tcMar>
            <w:vAlign w:val="bottom"/>
            <w:hideMark/>
          </w:tcPr>
          <w:p w14:paraId="4E0C5BD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0" w:type="dxa"/>
              <w:bottom w:w="15" w:type="dxa"/>
              <w:right w:w="15" w:type="dxa"/>
            </w:tcMar>
            <w:vAlign w:val="bottom"/>
            <w:hideMark/>
          </w:tcPr>
          <w:p w14:paraId="4B2CDD7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9,250,121</w:t>
            </w:r>
          </w:p>
        </w:tc>
        <w:tc>
          <w:tcPr>
            <w:tcW w:w="0" w:type="auto"/>
            <w:vAlign w:val="bottom"/>
            <w:hideMark/>
          </w:tcPr>
          <w:p w14:paraId="1338F03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15" w:type="dxa"/>
              <w:bottom w:w="15" w:type="dxa"/>
              <w:right w:w="0" w:type="dxa"/>
            </w:tcMar>
            <w:vAlign w:val="bottom"/>
            <w:hideMark/>
          </w:tcPr>
          <w:p w14:paraId="0A63C9C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bottom w:val="single" w:sz="8" w:space="0" w:color="000000"/>
            </w:tcBorders>
            <w:tcMar>
              <w:top w:w="15" w:type="dxa"/>
              <w:left w:w="0" w:type="dxa"/>
              <w:bottom w:w="15" w:type="dxa"/>
              <w:right w:w="0" w:type="dxa"/>
            </w:tcMar>
            <w:vAlign w:val="bottom"/>
            <w:hideMark/>
          </w:tcPr>
          <w:p w14:paraId="31412E7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(283,050</w:t>
            </w:r>
          </w:p>
        </w:tc>
        <w:tc>
          <w:tcPr>
            <w:tcW w:w="0" w:type="auto"/>
            <w:tcBorders>
              <w:top w:val="single" w:sz="8" w:space="0" w:color="000000"/>
              <w:bottom w:val="single" w:sz="8" w:space="0" w:color="000000"/>
            </w:tcBorders>
            <w:tcMar>
              <w:top w:w="15" w:type="dxa"/>
              <w:left w:w="0" w:type="dxa"/>
              <w:bottom w:w="15" w:type="dxa"/>
              <w:right w:w="15" w:type="dxa"/>
            </w:tcMar>
            <w:vAlign w:val="bottom"/>
            <w:hideMark/>
          </w:tcPr>
          <w:p w14:paraId="2CA13EA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r>
      <w:tr w:rsidR="0053552B" w:rsidRPr="0053552B" w14:paraId="77805B83" w14:textId="77777777" w:rsidTr="0053552B">
        <w:trPr>
          <w:jc w:val="center"/>
        </w:trPr>
        <w:tc>
          <w:tcPr>
            <w:tcW w:w="0" w:type="auto"/>
            <w:shd w:val="clear" w:color="auto" w:fill="F1F1F1"/>
            <w:vAlign w:val="bottom"/>
            <w:hideMark/>
          </w:tcPr>
          <w:p w14:paraId="7B91647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Income before Income Taxes</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13C911C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23BC27F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135,902,126</w:t>
            </w:r>
          </w:p>
        </w:tc>
        <w:tc>
          <w:tcPr>
            <w:tcW w:w="0" w:type="auto"/>
            <w:shd w:val="clear" w:color="auto" w:fill="F1F1F1"/>
            <w:vAlign w:val="bottom"/>
            <w:hideMark/>
          </w:tcPr>
          <w:p w14:paraId="0455B6F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6759478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671A9E9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95,457,329</w:t>
            </w:r>
          </w:p>
        </w:tc>
        <w:tc>
          <w:tcPr>
            <w:tcW w:w="0" w:type="auto"/>
            <w:shd w:val="clear" w:color="auto" w:fill="F1F1F1"/>
            <w:vAlign w:val="bottom"/>
            <w:hideMark/>
          </w:tcPr>
          <w:p w14:paraId="034249A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210FE30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79867F0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504,981,174</w:t>
            </w:r>
          </w:p>
        </w:tc>
        <w:tc>
          <w:tcPr>
            <w:tcW w:w="0" w:type="auto"/>
            <w:shd w:val="clear" w:color="auto" w:fill="F1F1F1"/>
            <w:vAlign w:val="bottom"/>
            <w:hideMark/>
          </w:tcPr>
          <w:p w14:paraId="37C52D4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2267CE7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0" w:type="dxa"/>
            </w:tcMar>
            <w:vAlign w:val="bottom"/>
            <w:hideMark/>
          </w:tcPr>
          <w:p w14:paraId="0369AAB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369,723,076</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07C6FA6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589C8C40" w14:textId="77777777" w:rsidTr="0053552B">
        <w:trPr>
          <w:jc w:val="center"/>
        </w:trPr>
        <w:tc>
          <w:tcPr>
            <w:tcW w:w="0" w:type="auto"/>
            <w:vAlign w:val="bottom"/>
            <w:hideMark/>
          </w:tcPr>
          <w:p w14:paraId="1243AF9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49B42F9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20917CE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0870AE3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65D82BB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31125DC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28A57C8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vAlign w:val="bottom"/>
            <w:hideMark/>
          </w:tcPr>
          <w:p w14:paraId="6FA6447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35D75E6B" w14:textId="77777777" w:rsidTr="0053552B">
        <w:trPr>
          <w:jc w:val="center"/>
        </w:trPr>
        <w:tc>
          <w:tcPr>
            <w:tcW w:w="0" w:type="auto"/>
            <w:shd w:val="clear" w:color="auto" w:fill="F1F1F1"/>
            <w:vAlign w:val="bottom"/>
            <w:hideMark/>
          </w:tcPr>
          <w:p w14:paraId="08BD4DF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Provision for Income Taxes</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6165BB7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6D605A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18,957,931</w:t>
            </w:r>
          </w:p>
        </w:tc>
        <w:tc>
          <w:tcPr>
            <w:tcW w:w="0" w:type="auto"/>
            <w:shd w:val="clear" w:color="auto" w:fill="F1F1F1"/>
            <w:vAlign w:val="bottom"/>
            <w:hideMark/>
          </w:tcPr>
          <w:p w14:paraId="2BA2777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12CE97E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AA65A2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9,289,000</w:t>
            </w:r>
          </w:p>
        </w:tc>
        <w:tc>
          <w:tcPr>
            <w:tcW w:w="0" w:type="auto"/>
            <w:shd w:val="clear" w:color="auto" w:fill="F1F1F1"/>
            <w:vAlign w:val="bottom"/>
            <w:hideMark/>
          </w:tcPr>
          <w:p w14:paraId="7ADE415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3B7DB45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607D6D7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76,577,902</w:t>
            </w:r>
          </w:p>
        </w:tc>
        <w:tc>
          <w:tcPr>
            <w:tcW w:w="0" w:type="auto"/>
            <w:shd w:val="clear" w:color="auto" w:fill="F1F1F1"/>
            <w:vAlign w:val="bottom"/>
            <w:hideMark/>
          </w:tcPr>
          <w:p w14:paraId="46DD369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2F84EA5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0" w:type="dxa"/>
            </w:tcMar>
            <w:vAlign w:val="bottom"/>
            <w:hideMark/>
          </w:tcPr>
          <w:p w14:paraId="191F0C7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50,965,724</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572EB4B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30F30760" w14:textId="77777777" w:rsidTr="0053552B">
        <w:trPr>
          <w:jc w:val="center"/>
        </w:trPr>
        <w:tc>
          <w:tcPr>
            <w:tcW w:w="0" w:type="auto"/>
            <w:vAlign w:val="bottom"/>
            <w:hideMark/>
          </w:tcPr>
          <w:p w14:paraId="224E007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Net Income</w:t>
            </w:r>
          </w:p>
        </w:tc>
        <w:tc>
          <w:tcPr>
            <w:tcW w:w="0" w:type="auto"/>
            <w:tcBorders>
              <w:top w:val="single" w:sz="8" w:space="0" w:color="000000"/>
            </w:tcBorders>
            <w:tcMar>
              <w:top w:w="15" w:type="dxa"/>
              <w:left w:w="15" w:type="dxa"/>
              <w:bottom w:w="15" w:type="dxa"/>
              <w:right w:w="0" w:type="dxa"/>
            </w:tcMar>
            <w:vAlign w:val="bottom"/>
            <w:hideMark/>
          </w:tcPr>
          <w:p w14:paraId="2574CE0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0D1041C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116,944,195</w:t>
            </w:r>
          </w:p>
        </w:tc>
        <w:tc>
          <w:tcPr>
            <w:tcW w:w="0" w:type="auto"/>
            <w:vAlign w:val="bottom"/>
            <w:hideMark/>
          </w:tcPr>
          <w:p w14:paraId="43B920D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302E1AB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73C2EDC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86,168,329</w:t>
            </w:r>
          </w:p>
        </w:tc>
        <w:tc>
          <w:tcPr>
            <w:tcW w:w="0" w:type="auto"/>
            <w:vAlign w:val="bottom"/>
            <w:hideMark/>
          </w:tcPr>
          <w:p w14:paraId="1829310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7F4AC0D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71D5F0F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428,403,272</w:t>
            </w:r>
          </w:p>
        </w:tc>
        <w:tc>
          <w:tcPr>
            <w:tcW w:w="0" w:type="auto"/>
            <w:vAlign w:val="bottom"/>
            <w:hideMark/>
          </w:tcPr>
          <w:p w14:paraId="378B334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723B70D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0" w:type="dxa"/>
            </w:tcMar>
            <w:vAlign w:val="bottom"/>
            <w:hideMark/>
          </w:tcPr>
          <w:p w14:paraId="6D6451C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318,757,352</w:t>
            </w:r>
          </w:p>
        </w:tc>
        <w:tc>
          <w:tcPr>
            <w:tcW w:w="0" w:type="auto"/>
            <w:tcBorders>
              <w:top w:val="single" w:sz="8" w:space="0" w:color="000000"/>
            </w:tcBorders>
            <w:tcMar>
              <w:top w:w="15" w:type="dxa"/>
              <w:left w:w="0" w:type="dxa"/>
              <w:bottom w:w="15" w:type="dxa"/>
              <w:right w:w="15" w:type="dxa"/>
            </w:tcMar>
            <w:vAlign w:val="bottom"/>
            <w:hideMark/>
          </w:tcPr>
          <w:p w14:paraId="3CA2145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25452C05" w14:textId="77777777" w:rsidTr="0053552B">
        <w:trPr>
          <w:jc w:val="center"/>
        </w:trPr>
        <w:tc>
          <w:tcPr>
            <w:tcW w:w="0" w:type="auto"/>
            <w:shd w:val="clear" w:color="auto" w:fill="F1F1F1"/>
            <w:vAlign w:val="bottom"/>
            <w:hideMark/>
          </w:tcPr>
          <w:p w14:paraId="766EC96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top w:val="double" w:sz="6" w:space="0" w:color="000000"/>
            </w:tcBorders>
            <w:shd w:val="clear" w:color="auto" w:fill="F1F1F1"/>
            <w:vAlign w:val="bottom"/>
            <w:hideMark/>
          </w:tcPr>
          <w:p w14:paraId="1332A62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191DFA1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top w:val="double" w:sz="6" w:space="0" w:color="000000"/>
            </w:tcBorders>
            <w:shd w:val="clear" w:color="auto" w:fill="F1F1F1"/>
            <w:vAlign w:val="bottom"/>
            <w:hideMark/>
          </w:tcPr>
          <w:p w14:paraId="2E112EB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6439BF7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top w:val="double" w:sz="6" w:space="0" w:color="000000"/>
            </w:tcBorders>
            <w:shd w:val="clear" w:color="auto" w:fill="F1F1F1"/>
            <w:vAlign w:val="bottom"/>
            <w:hideMark/>
          </w:tcPr>
          <w:p w14:paraId="1673907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6A7A540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top w:val="double" w:sz="6" w:space="0" w:color="000000"/>
            </w:tcBorders>
            <w:shd w:val="clear" w:color="auto" w:fill="F1F1F1"/>
            <w:vAlign w:val="bottom"/>
            <w:hideMark/>
          </w:tcPr>
          <w:p w14:paraId="71F6D48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D748288" w14:textId="77777777" w:rsidTr="0053552B">
        <w:trPr>
          <w:jc w:val="center"/>
        </w:trPr>
        <w:tc>
          <w:tcPr>
            <w:tcW w:w="0" w:type="auto"/>
            <w:vAlign w:val="bottom"/>
            <w:hideMark/>
          </w:tcPr>
          <w:p w14:paraId="69B68CF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xml:space="preserve">Earnings Per </w:t>
            </w:r>
            <w:proofErr w:type="gramStart"/>
            <w:r w:rsidRPr="0053552B">
              <w:rPr>
                <w:rFonts w:ascii="Verdana" w:eastAsia="Times New Roman" w:hAnsi="Verdana" w:cs="Times New Roman"/>
                <w:kern w:val="0"/>
                <w:sz w:val="24"/>
                <w:szCs w:val="24"/>
                <w14:ligatures w14:val="none"/>
              </w:rPr>
              <w:t>Share</w:t>
            </w:r>
            <w:r w:rsidRPr="0053552B">
              <w:rPr>
                <w:rFonts w:ascii="Verdana" w:eastAsia="Times New Roman" w:hAnsi="Verdana" w:cs="Times New Roman"/>
                <w:kern w:val="0"/>
                <w:sz w:val="24"/>
                <w:szCs w:val="24"/>
                <w:vertAlign w:val="superscript"/>
                <w14:ligatures w14:val="none"/>
              </w:rPr>
              <w:t>(</w:t>
            </w:r>
            <w:proofErr w:type="gramEnd"/>
            <w:r w:rsidRPr="0053552B">
              <w:rPr>
                <w:rFonts w:ascii="Verdana" w:eastAsia="Times New Roman" w:hAnsi="Verdana" w:cs="Times New Roman"/>
                <w:kern w:val="0"/>
                <w:sz w:val="24"/>
                <w:szCs w:val="24"/>
                <w:vertAlign w:val="superscript"/>
                <w14:ligatures w14:val="none"/>
              </w:rPr>
              <w:t>1)</w:t>
            </w:r>
          </w:p>
        </w:tc>
        <w:tc>
          <w:tcPr>
            <w:tcW w:w="0" w:type="auto"/>
            <w:gridSpan w:val="2"/>
            <w:vAlign w:val="bottom"/>
            <w:hideMark/>
          </w:tcPr>
          <w:p w14:paraId="1B4AAEB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1B1D1A7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468D105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2CB97E0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6325906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332113B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vAlign w:val="bottom"/>
            <w:hideMark/>
          </w:tcPr>
          <w:p w14:paraId="16FEF11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33DF6CD" w14:textId="77777777" w:rsidTr="0053552B">
        <w:trPr>
          <w:jc w:val="center"/>
        </w:trPr>
        <w:tc>
          <w:tcPr>
            <w:tcW w:w="0" w:type="auto"/>
            <w:shd w:val="clear" w:color="auto" w:fill="F1F1F1"/>
            <w:tcMar>
              <w:top w:w="15" w:type="dxa"/>
              <w:left w:w="225" w:type="dxa"/>
              <w:bottom w:w="15" w:type="dxa"/>
              <w:right w:w="15" w:type="dxa"/>
            </w:tcMar>
            <w:vAlign w:val="bottom"/>
            <w:hideMark/>
          </w:tcPr>
          <w:p w14:paraId="09C0809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Basic</w:t>
            </w:r>
          </w:p>
        </w:tc>
        <w:tc>
          <w:tcPr>
            <w:tcW w:w="0" w:type="auto"/>
            <w:shd w:val="clear" w:color="auto" w:fill="F1F1F1"/>
            <w:tcMar>
              <w:top w:w="15" w:type="dxa"/>
              <w:left w:w="15" w:type="dxa"/>
              <w:bottom w:w="15" w:type="dxa"/>
              <w:right w:w="0" w:type="dxa"/>
            </w:tcMar>
            <w:vAlign w:val="bottom"/>
            <w:hideMark/>
          </w:tcPr>
          <w:p w14:paraId="3910D00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15" w:type="dxa"/>
            </w:tcMar>
            <w:vAlign w:val="bottom"/>
            <w:hideMark/>
          </w:tcPr>
          <w:p w14:paraId="550993D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0.50</w:t>
            </w:r>
          </w:p>
        </w:tc>
        <w:tc>
          <w:tcPr>
            <w:tcW w:w="0" w:type="auto"/>
            <w:shd w:val="clear" w:color="auto" w:fill="F1F1F1"/>
            <w:vAlign w:val="bottom"/>
            <w:hideMark/>
          </w:tcPr>
          <w:p w14:paraId="6B790C7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1DDF68D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15" w:type="dxa"/>
            </w:tcMar>
            <w:vAlign w:val="bottom"/>
            <w:hideMark/>
          </w:tcPr>
          <w:p w14:paraId="1EC63B5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0.37</w:t>
            </w:r>
          </w:p>
        </w:tc>
        <w:tc>
          <w:tcPr>
            <w:tcW w:w="0" w:type="auto"/>
            <w:shd w:val="clear" w:color="auto" w:fill="F1F1F1"/>
            <w:vAlign w:val="bottom"/>
            <w:hideMark/>
          </w:tcPr>
          <w:p w14:paraId="35DFC27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64340FB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15" w:type="dxa"/>
            </w:tcMar>
            <w:vAlign w:val="bottom"/>
            <w:hideMark/>
          </w:tcPr>
          <w:p w14:paraId="3C4CD4E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1.84</w:t>
            </w:r>
          </w:p>
        </w:tc>
        <w:tc>
          <w:tcPr>
            <w:tcW w:w="0" w:type="auto"/>
            <w:shd w:val="clear" w:color="auto" w:fill="F1F1F1"/>
            <w:vAlign w:val="bottom"/>
            <w:hideMark/>
          </w:tcPr>
          <w:p w14:paraId="6A9146F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625C346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0" w:type="dxa"/>
            </w:tcMar>
            <w:vAlign w:val="bottom"/>
            <w:hideMark/>
          </w:tcPr>
          <w:p w14:paraId="0653B9A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1.36</w:t>
            </w:r>
          </w:p>
        </w:tc>
        <w:tc>
          <w:tcPr>
            <w:tcW w:w="0" w:type="auto"/>
            <w:shd w:val="clear" w:color="auto" w:fill="F1F1F1"/>
            <w:tcMar>
              <w:top w:w="15" w:type="dxa"/>
              <w:left w:w="0" w:type="dxa"/>
              <w:bottom w:w="15" w:type="dxa"/>
              <w:right w:w="15" w:type="dxa"/>
            </w:tcMar>
            <w:vAlign w:val="bottom"/>
            <w:hideMark/>
          </w:tcPr>
          <w:p w14:paraId="5506DC4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EE6866C" w14:textId="77777777" w:rsidTr="0053552B">
        <w:trPr>
          <w:jc w:val="center"/>
        </w:trPr>
        <w:tc>
          <w:tcPr>
            <w:tcW w:w="0" w:type="auto"/>
            <w:tcMar>
              <w:top w:w="15" w:type="dxa"/>
              <w:left w:w="225" w:type="dxa"/>
              <w:bottom w:w="15" w:type="dxa"/>
              <w:right w:w="15" w:type="dxa"/>
            </w:tcMar>
            <w:vAlign w:val="bottom"/>
            <w:hideMark/>
          </w:tcPr>
          <w:p w14:paraId="7B31C9D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Diluted</w:t>
            </w:r>
          </w:p>
        </w:tc>
        <w:tc>
          <w:tcPr>
            <w:tcW w:w="0" w:type="auto"/>
            <w:tcMar>
              <w:top w:w="15" w:type="dxa"/>
              <w:left w:w="15" w:type="dxa"/>
              <w:bottom w:w="15" w:type="dxa"/>
              <w:right w:w="0" w:type="dxa"/>
            </w:tcMar>
            <w:vAlign w:val="bottom"/>
            <w:hideMark/>
          </w:tcPr>
          <w:p w14:paraId="401A611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4F0B30C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0.50</w:t>
            </w:r>
          </w:p>
        </w:tc>
        <w:tc>
          <w:tcPr>
            <w:tcW w:w="0" w:type="auto"/>
            <w:vAlign w:val="bottom"/>
            <w:hideMark/>
          </w:tcPr>
          <w:p w14:paraId="7B5B2D7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73EB182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1D0A4A6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0.37</w:t>
            </w:r>
          </w:p>
        </w:tc>
        <w:tc>
          <w:tcPr>
            <w:tcW w:w="0" w:type="auto"/>
            <w:vAlign w:val="bottom"/>
            <w:hideMark/>
          </w:tcPr>
          <w:p w14:paraId="2ED4970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2CB3947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005311F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1.84</w:t>
            </w:r>
          </w:p>
        </w:tc>
        <w:tc>
          <w:tcPr>
            <w:tcW w:w="0" w:type="auto"/>
            <w:vAlign w:val="bottom"/>
            <w:hideMark/>
          </w:tcPr>
          <w:p w14:paraId="0DE4F2D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23441DB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0" w:type="dxa"/>
            </w:tcMar>
            <w:vAlign w:val="bottom"/>
            <w:hideMark/>
          </w:tcPr>
          <w:p w14:paraId="0734928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1.36</w:t>
            </w:r>
          </w:p>
        </w:tc>
        <w:tc>
          <w:tcPr>
            <w:tcW w:w="0" w:type="auto"/>
            <w:tcMar>
              <w:top w:w="15" w:type="dxa"/>
              <w:left w:w="0" w:type="dxa"/>
              <w:bottom w:w="15" w:type="dxa"/>
              <w:right w:w="15" w:type="dxa"/>
            </w:tcMar>
            <w:vAlign w:val="bottom"/>
            <w:hideMark/>
          </w:tcPr>
          <w:p w14:paraId="06E65F6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574D95F9" w14:textId="77777777" w:rsidTr="0053552B">
        <w:trPr>
          <w:jc w:val="center"/>
        </w:trPr>
        <w:tc>
          <w:tcPr>
            <w:tcW w:w="0" w:type="auto"/>
            <w:shd w:val="clear" w:color="auto" w:fill="F1F1F1"/>
            <w:vAlign w:val="bottom"/>
            <w:hideMark/>
          </w:tcPr>
          <w:p w14:paraId="7CBFCA2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64BC24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20D4CBF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1EA26A8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57DE5B3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085D5AF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007697D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shd w:val="clear" w:color="auto" w:fill="F1F1F1"/>
            <w:vAlign w:val="bottom"/>
            <w:hideMark/>
          </w:tcPr>
          <w:p w14:paraId="60AC914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3D3CD76D" w14:textId="77777777" w:rsidTr="0053552B">
        <w:trPr>
          <w:jc w:val="center"/>
        </w:trPr>
        <w:tc>
          <w:tcPr>
            <w:tcW w:w="0" w:type="auto"/>
            <w:vAlign w:val="bottom"/>
            <w:hideMark/>
          </w:tcPr>
          <w:p w14:paraId="567F669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Cash Dividends Declared per Share</w:t>
            </w:r>
          </w:p>
        </w:tc>
        <w:tc>
          <w:tcPr>
            <w:tcW w:w="0" w:type="auto"/>
            <w:tcMar>
              <w:top w:w="15" w:type="dxa"/>
              <w:left w:w="15" w:type="dxa"/>
              <w:bottom w:w="15" w:type="dxa"/>
              <w:right w:w="0" w:type="dxa"/>
            </w:tcMar>
            <w:vAlign w:val="bottom"/>
            <w:hideMark/>
          </w:tcPr>
          <w:p w14:paraId="708EC53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303057C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0.12</w:t>
            </w:r>
          </w:p>
        </w:tc>
        <w:tc>
          <w:tcPr>
            <w:tcW w:w="0" w:type="auto"/>
            <w:vAlign w:val="bottom"/>
            <w:hideMark/>
          </w:tcPr>
          <w:p w14:paraId="49A31DF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11C175E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45D6063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0.12</w:t>
            </w:r>
          </w:p>
        </w:tc>
        <w:tc>
          <w:tcPr>
            <w:tcW w:w="0" w:type="auto"/>
            <w:vAlign w:val="bottom"/>
            <w:hideMark/>
          </w:tcPr>
          <w:p w14:paraId="3EB8AB1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4D88860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15" w:type="dxa"/>
            </w:tcMar>
            <w:vAlign w:val="bottom"/>
            <w:hideMark/>
          </w:tcPr>
          <w:p w14:paraId="098A408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0.480</w:t>
            </w:r>
          </w:p>
        </w:tc>
        <w:tc>
          <w:tcPr>
            <w:tcW w:w="0" w:type="auto"/>
            <w:vAlign w:val="bottom"/>
            <w:hideMark/>
          </w:tcPr>
          <w:p w14:paraId="17DAB5F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3C848C2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Mar>
              <w:top w:w="15" w:type="dxa"/>
              <w:left w:w="0" w:type="dxa"/>
              <w:bottom w:w="15" w:type="dxa"/>
              <w:right w:w="0" w:type="dxa"/>
            </w:tcMar>
            <w:vAlign w:val="bottom"/>
            <w:hideMark/>
          </w:tcPr>
          <w:p w14:paraId="44021E9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0.480</w:t>
            </w:r>
          </w:p>
        </w:tc>
        <w:tc>
          <w:tcPr>
            <w:tcW w:w="0" w:type="auto"/>
            <w:tcMar>
              <w:top w:w="15" w:type="dxa"/>
              <w:left w:w="0" w:type="dxa"/>
              <w:bottom w:w="15" w:type="dxa"/>
              <w:right w:w="15" w:type="dxa"/>
            </w:tcMar>
            <w:vAlign w:val="bottom"/>
            <w:hideMark/>
          </w:tcPr>
          <w:p w14:paraId="205D7AC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02BEDF9" w14:textId="77777777" w:rsidTr="0053552B">
        <w:trPr>
          <w:jc w:val="center"/>
        </w:trPr>
        <w:tc>
          <w:tcPr>
            <w:tcW w:w="0" w:type="auto"/>
            <w:shd w:val="clear" w:color="auto" w:fill="F1F1F1"/>
            <w:vAlign w:val="bottom"/>
            <w:hideMark/>
          </w:tcPr>
          <w:p w14:paraId="622138F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2F93BA7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51664E4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5CD6308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20111F2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shd w:val="clear" w:color="auto" w:fill="F1F1F1"/>
            <w:vAlign w:val="bottom"/>
            <w:hideMark/>
          </w:tcPr>
          <w:p w14:paraId="4BE5397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33DB693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shd w:val="clear" w:color="auto" w:fill="F1F1F1"/>
            <w:vAlign w:val="bottom"/>
            <w:hideMark/>
          </w:tcPr>
          <w:p w14:paraId="035F758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AB72058" w14:textId="77777777" w:rsidTr="0053552B">
        <w:trPr>
          <w:jc w:val="center"/>
        </w:trPr>
        <w:tc>
          <w:tcPr>
            <w:tcW w:w="0" w:type="auto"/>
            <w:gridSpan w:val="13"/>
            <w:tcMar>
              <w:top w:w="15" w:type="dxa"/>
              <w:left w:w="225" w:type="dxa"/>
              <w:bottom w:w="15" w:type="dxa"/>
              <w:right w:w="15" w:type="dxa"/>
            </w:tcMar>
            <w:vAlign w:val="bottom"/>
            <w:hideMark/>
          </w:tcPr>
          <w:p w14:paraId="3055129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vertAlign w:val="superscript"/>
                <w14:ligatures w14:val="none"/>
              </w:rPr>
              <w:t>(1)</w:t>
            </w:r>
            <w:r w:rsidRPr="0053552B">
              <w:rPr>
                <w:rFonts w:ascii="Verdana" w:eastAsia="Times New Roman" w:hAnsi="Verdana" w:cs="Times New Roman"/>
                <w:kern w:val="0"/>
                <w:sz w:val="24"/>
                <w:szCs w:val="24"/>
                <w14:ligatures w14:val="none"/>
              </w:rPr>
              <w:t xml:space="preserve"> Earnings Per Share has been adjusted to exclude the portion of net income allocated to participating securities </w:t>
            </w:r>
            <w:proofErr w:type="gramStart"/>
            <w:r w:rsidRPr="0053552B">
              <w:rPr>
                <w:rFonts w:ascii="Verdana" w:eastAsia="Times New Roman" w:hAnsi="Verdana" w:cs="Times New Roman"/>
                <w:kern w:val="0"/>
                <w:sz w:val="24"/>
                <w:szCs w:val="24"/>
                <w14:ligatures w14:val="none"/>
              </w:rPr>
              <w:t>as a result of</w:t>
            </w:r>
            <w:proofErr w:type="gramEnd"/>
            <w:r w:rsidRPr="0053552B">
              <w:rPr>
                <w:rFonts w:ascii="Verdana" w:eastAsia="Times New Roman" w:hAnsi="Verdana" w:cs="Times New Roman"/>
                <w:kern w:val="0"/>
                <w:sz w:val="24"/>
                <w:szCs w:val="24"/>
                <w14:ligatures w14:val="none"/>
              </w:rPr>
              <w:t xml:space="preserve"> share-based payment awards</w:t>
            </w:r>
          </w:p>
        </w:tc>
      </w:tr>
      <w:tr w:rsidR="0053552B" w:rsidRPr="0053552B" w14:paraId="0E732F76" w14:textId="77777777" w:rsidTr="0053552B">
        <w:trPr>
          <w:jc w:val="center"/>
        </w:trPr>
        <w:tc>
          <w:tcPr>
            <w:tcW w:w="0" w:type="auto"/>
            <w:gridSpan w:val="13"/>
            <w:shd w:val="clear" w:color="auto" w:fill="F1F1F1"/>
            <w:tcMar>
              <w:top w:w="15" w:type="dxa"/>
              <w:left w:w="225" w:type="dxa"/>
              <w:bottom w:w="15" w:type="dxa"/>
              <w:right w:w="15" w:type="dxa"/>
            </w:tcMar>
            <w:vAlign w:val="bottom"/>
            <w:hideMark/>
          </w:tcPr>
          <w:p w14:paraId="6E60B10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bl>
    <w:p w14:paraId="73F0690D"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w:t>
      </w:r>
    </w:p>
    <w:tbl>
      <w:tblPr>
        <w:tblW w:w="15630" w:type="dxa"/>
        <w:jc w:val="center"/>
        <w:tblCellMar>
          <w:top w:w="15" w:type="dxa"/>
          <w:left w:w="15" w:type="dxa"/>
          <w:bottom w:w="15" w:type="dxa"/>
          <w:right w:w="15" w:type="dxa"/>
        </w:tblCellMar>
        <w:tblLook w:val="04A0" w:firstRow="1" w:lastRow="0" w:firstColumn="1" w:lastColumn="0" w:noHBand="0" w:noVBand="1"/>
      </w:tblPr>
      <w:tblGrid>
        <w:gridCol w:w="10302"/>
        <w:gridCol w:w="366"/>
        <w:gridCol w:w="2216"/>
        <w:gridCol w:w="151"/>
        <w:gridCol w:w="206"/>
        <w:gridCol w:w="2205"/>
        <w:gridCol w:w="184"/>
      </w:tblGrid>
      <w:tr w:rsidR="0053552B" w:rsidRPr="0053552B" w14:paraId="03CED10D" w14:textId="77777777" w:rsidTr="0053552B">
        <w:trPr>
          <w:jc w:val="center"/>
        </w:trPr>
        <w:tc>
          <w:tcPr>
            <w:tcW w:w="0" w:type="auto"/>
            <w:gridSpan w:val="7"/>
            <w:vAlign w:val="bottom"/>
            <w:hideMark/>
          </w:tcPr>
          <w:p w14:paraId="68FB17D9"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GENTEX CORPORATION AND SUBSIDIARIES</w:t>
            </w:r>
          </w:p>
        </w:tc>
      </w:tr>
      <w:tr w:rsidR="0053552B" w:rsidRPr="0053552B" w14:paraId="3B5D5ECF" w14:textId="77777777" w:rsidTr="0053552B">
        <w:trPr>
          <w:jc w:val="center"/>
        </w:trPr>
        <w:tc>
          <w:tcPr>
            <w:tcW w:w="0" w:type="auto"/>
            <w:gridSpan w:val="7"/>
            <w:shd w:val="clear" w:color="auto" w:fill="F1F1F1"/>
            <w:vAlign w:val="bottom"/>
            <w:hideMark/>
          </w:tcPr>
          <w:p w14:paraId="3036A4CF"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CONDENSED CONSOLIDATED BALANCE SHEETS</w:t>
            </w:r>
          </w:p>
        </w:tc>
      </w:tr>
      <w:tr w:rsidR="0053552B" w:rsidRPr="0053552B" w14:paraId="28549340" w14:textId="77777777" w:rsidTr="0053552B">
        <w:trPr>
          <w:jc w:val="center"/>
        </w:trPr>
        <w:tc>
          <w:tcPr>
            <w:tcW w:w="0" w:type="auto"/>
            <w:gridSpan w:val="7"/>
            <w:vAlign w:val="bottom"/>
            <w:hideMark/>
          </w:tcPr>
          <w:p w14:paraId="080AFB3A"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(Unaudited)</w:t>
            </w:r>
          </w:p>
        </w:tc>
      </w:tr>
      <w:tr w:rsidR="0053552B" w:rsidRPr="0053552B" w14:paraId="09851A3D" w14:textId="77777777" w:rsidTr="0053552B">
        <w:trPr>
          <w:jc w:val="center"/>
        </w:trPr>
        <w:tc>
          <w:tcPr>
            <w:tcW w:w="0" w:type="auto"/>
            <w:gridSpan w:val="7"/>
            <w:shd w:val="clear" w:color="auto" w:fill="F1F1F1"/>
            <w:vAlign w:val="bottom"/>
            <w:hideMark/>
          </w:tcPr>
          <w:p w14:paraId="4FA1B40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829C833" w14:textId="77777777" w:rsidTr="0053552B">
        <w:trPr>
          <w:jc w:val="center"/>
        </w:trPr>
        <w:tc>
          <w:tcPr>
            <w:tcW w:w="0" w:type="auto"/>
            <w:vAlign w:val="bottom"/>
            <w:hideMark/>
          </w:tcPr>
          <w:p w14:paraId="524C3C8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vAlign w:val="bottom"/>
            <w:hideMark/>
          </w:tcPr>
          <w:p w14:paraId="51BABA85"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December 31, 2023</w:t>
            </w:r>
          </w:p>
        </w:tc>
        <w:tc>
          <w:tcPr>
            <w:tcW w:w="0" w:type="auto"/>
            <w:vAlign w:val="bottom"/>
            <w:hideMark/>
          </w:tcPr>
          <w:p w14:paraId="039251F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bottom w:val="single" w:sz="8" w:space="0" w:color="000000"/>
            </w:tcBorders>
            <w:vAlign w:val="bottom"/>
            <w:hideMark/>
          </w:tcPr>
          <w:p w14:paraId="1F60304D" w14:textId="77777777" w:rsidR="0053552B" w:rsidRPr="0053552B" w:rsidRDefault="0053552B" w:rsidP="0053552B">
            <w:pPr>
              <w:spacing w:after="0" w:line="240" w:lineRule="auto"/>
              <w:jc w:val="center"/>
              <w:rPr>
                <w:rFonts w:ascii="Verdana" w:eastAsia="Times New Roman" w:hAnsi="Verdana" w:cs="Times New Roman"/>
                <w:kern w:val="0"/>
                <w:sz w:val="24"/>
                <w:szCs w:val="24"/>
                <w14:ligatures w14:val="none"/>
              </w:rPr>
            </w:pPr>
            <w:r w:rsidRPr="0053552B">
              <w:rPr>
                <w:rFonts w:ascii="Verdana" w:eastAsia="Times New Roman" w:hAnsi="Verdana" w:cs="Times New Roman"/>
                <w:b/>
                <w:bCs/>
                <w:kern w:val="0"/>
                <w:sz w:val="24"/>
                <w:szCs w:val="24"/>
                <w14:ligatures w14:val="none"/>
              </w:rPr>
              <w:t>December 31, 2022</w:t>
            </w:r>
          </w:p>
        </w:tc>
      </w:tr>
      <w:tr w:rsidR="0053552B" w:rsidRPr="0053552B" w14:paraId="55174A11" w14:textId="77777777" w:rsidTr="0053552B">
        <w:trPr>
          <w:jc w:val="center"/>
        </w:trPr>
        <w:tc>
          <w:tcPr>
            <w:tcW w:w="0" w:type="auto"/>
            <w:shd w:val="clear" w:color="auto" w:fill="F1F1F1"/>
            <w:vAlign w:val="bottom"/>
            <w:hideMark/>
          </w:tcPr>
          <w:p w14:paraId="05F2184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ASSETS</w:t>
            </w:r>
          </w:p>
        </w:tc>
        <w:tc>
          <w:tcPr>
            <w:tcW w:w="0" w:type="auto"/>
            <w:gridSpan w:val="2"/>
            <w:tcBorders>
              <w:top w:val="single" w:sz="8" w:space="0" w:color="000000"/>
            </w:tcBorders>
            <w:shd w:val="clear" w:color="auto" w:fill="F1F1F1"/>
            <w:vAlign w:val="bottom"/>
            <w:hideMark/>
          </w:tcPr>
          <w:p w14:paraId="339A4E2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41B44F3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top w:val="single" w:sz="8" w:space="0" w:color="000000"/>
            </w:tcBorders>
            <w:shd w:val="clear" w:color="auto" w:fill="F1F1F1"/>
            <w:vAlign w:val="bottom"/>
            <w:hideMark/>
          </w:tcPr>
          <w:p w14:paraId="3D50855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81532CA" w14:textId="77777777" w:rsidTr="0053552B">
        <w:trPr>
          <w:jc w:val="center"/>
        </w:trPr>
        <w:tc>
          <w:tcPr>
            <w:tcW w:w="11404" w:type="dxa"/>
            <w:vAlign w:val="bottom"/>
            <w:hideMark/>
          </w:tcPr>
          <w:p w14:paraId="79815F9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Cash and Cash Equivalents</w:t>
            </w:r>
          </w:p>
        </w:tc>
        <w:tc>
          <w:tcPr>
            <w:tcW w:w="312" w:type="dxa"/>
            <w:tcMar>
              <w:top w:w="15" w:type="dxa"/>
              <w:left w:w="15" w:type="dxa"/>
              <w:bottom w:w="15" w:type="dxa"/>
              <w:right w:w="0" w:type="dxa"/>
            </w:tcMar>
            <w:vAlign w:val="bottom"/>
            <w:hideMark/>
          </w:tcPr>
          <w:p w14:paraId="733E0A6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1718" w:type="dxa"/>
            <w:tcMar>
              <w:top w:w="15" w:type="dxa"/>
              <w:left w:w="0" w:type="dxa"/>
              <w:bottom w:w="15" w:type="dxa"/>
              <w:right w:w="15" w:type="dxa"/>
            </w:tcMar>
            <w:vAlign w:val="bottom"/>
            <w:hideMark/>
          </w:tcPr>
          <w:p w14:paraId="2E2157A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226,435,019</w:t>
            </w:r>
          </w:p>
        </w:tc>
        <w:tc>
          <w:tcPr>
            <w:tcW w:w="156" w:type="dxa"/>
            <w:vAlign w:val="bottom"/>
            <w:hideMark/>
          </w:tcPr>
          <w:p w14:paraId="502C537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156" w:type="dxa"/>
            <w:tcMar>
              <w:top w:w="15" w:type="dxa"/>
              <w:left w:w="15" w:type="dxa"/>
              <w:bottom w:w="15" w:type="dxa"/>
              <w:right w:w="0" w:type="dxa"/>
            </w:tcMar>
            <w:vAlign w:val="bottom"/>
            <w:hideMark/>
          </w:tcPr>
          <w:p w14:paraId="4F8C00F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1718" w:type="dxa"/>
            <w:tcMar>
              <w:top w:w="15" w:type="dxa"/>
              <w:left w:w="0" w:type="dxa"/>
              <w:bottom w:w="15" w:type="dxa"/>
              <w:right w:w="15" w:type="dxa"/>
            </w:tcMar>
            <w:vAlign w:val="bottom"/>
            <w:hideMark/>
          </w:tcPr>
          <w:p w14:paraId="490D9E5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214,754,638</w:t>
            </w:r>
          </w:p>
        </w:tc>
        <w:tc>
          <w:tcPr>
            <w:tcW w:w="156" w:type="dxa"/>
            <w:tcMar>
              <w:top w:w="15" w:type="dxa"/>
              <w:left w:w="0" w:type="dxa"/>
              <w:bottom w:w="15" w:type="dxa"/>
              <w:right w:w="15" w:type="dxa"/>
            </w:tcMar>
            <w:vAlign w:val="bottom"/>
            <w:hideMark/>
          </w:tcPr>
          <w:p w14:paraId="2A7FE8D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2C0B50B0" w14:textId="77777777" w:rsidTr="0053552B">
        <w:trPr>
          <w:jc w:val="center"/>
        </w:trPr>
        <w:tc>
          <w:tcPr>
            <w:tcW w:w="0" w:type="auto"/>
            <w:shd w:val="clear" w:color="auto" w:fill="F1F1F1"/>
            <w:vAlign w:val="bottom"/>
            <w:hideMark/>
          </w:tcPr>
          <w:p w14:paraId="304A345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Short-Term Investments</w:t>
            </w:r>
          </w:p>
        </w:tc>
        <w:tc>
          <w:tcPr>
            <w:tcW w:w="0" w:type="auto"/>
            <w:shd w:val="clear" w:color="auto" w:fill="F1F1F1"/>
            <w:tcMar>
              <w:top w:w="15" w:type="dxa"/>
              <w:left w:w="15" w:type="dxa"/>
              <w:bottom w:w="15" w:type="dxa"/>
              <w:right w:w="0" w:type="dxa"/>
            </w:tcMar>
            <w:vAlign w:val="bottom"/>
            <w:hideMark/>
          </w:tcPr>
          <w:p w14:paraId="29C5E57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2800B82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14,356,476</w:t>
            </w:r>
          </w:p>
        </w:tc>
        <w:tc>
          <w:tcPr>
            <w:tcW w:w="0" w:type="auto"/>
            <w:shd w:val="clear" w:color="auto" w:fill="F1F1F1"/>
            <w:vAlign w:val="bottom"/>
            <w:hideMark/>
          </w:tcPr>
          <w:p w14:paraId="3EA4C92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52C54D4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7632AFE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23,007,385</w:t>
            </w:r>
          </w:p>
        </w:tc>
        <w:tc>
          <w:tcPr>
            <w:tcW w:w="0" w:type="auto"/>
            <w:shd w:val="clear" w:color="auto" w:fill="F1F1F1"/>
            <w:tcMar>
              <w:top w:w="15" w:type="dxa"/>
              <w:left w:w="0" w:type="dxa"/>
              <w:bottom w:w="15" w:type="dxa"/>
              <w:right w:w="15" w:type="dxa"/>
            </w:tcMar>
            <w:vAlign w:val="bottom"/>
            <w:hideMark/>
          </w:tcPr>
          <w:p w14:paraId="119213B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2A1C0571" w14:textId="77777777" w:rsidTr="0053552B">
        <w:trPr>
          <w:jc w:val="center"/>
        </w:trPr>
        <w:tc>
          <w:tcPr>
            <w:tcW w:w="0" w:type="auto"/>
            <w:vAlign w:val="bottom"/>
            <w:hideMark/>
          </w:tcPr>
          <w:p w14:paraId="4923376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Accounts Receivable, net</w:t>
            </w:r>
          </w:p>
        </w:tc>
        <w:tc>
          <w:tcPr>
            <w:tcW w:w="0" w:type="auto"/>
            <w:tcMar>
              <w:top w:w="15" w:type="dxa"/>
              <w:left w:w="15" w:type="dxa"/>
              <w:bottom w:w="15" w:type="dxa"/>
              <w:right w:w="0" w:type="dxa"/>
            </w:tcMar>
            <w:vAlign w:val="bottom"/>
            <w:hideMark/>
          </w:tcPr>
          <w:p w14:paraId="6711E8A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35170DE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321,809,868</w:t>
            </w:r>
          </w:p>
        </w:tc>
        <w:tc>
          <w:tcPr>
            <w:tcW w:w="0" w:type="auto"/>
            <w:vAlign w:val="bottom"/>
            <w:hideMark/>
          </w:tcPr>
          <w:p w14:paraId="507D62C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75447DC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5F995E2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276,493,752</w:t>
            </w:r>
          </w:p>
        </w:tc>
        <w:tc>
          <w:tcPr>
            <w:tcW w:w="0" w:type="auto"/>
            <w:tcMar>
              <w:top w:w="15" w:type="dxa"/>
              <w:left w:w="0" w:type="dxa"/>
              <w:bottom w:w="15" w:type="dxa"/>
              <w:right w:w="15" w:type="dxa"/>
            </w:tcMar>
            <w:vAlign w:val="bottom"/>
            <w:hideMark/>
          </w:tcPr>
          <w:p w14:paraId="19BE06E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5168694D" w14:textId="77777777" w:rsidTr="0053552B">
        <w:trPr>
          <w:jc w:val="center"/>
        </w:trPr>
        <w:tc>
          <w:tcPr>
            <w:tcW w:w="0" w:type="auto"/>
            <w:shd w:val="clear" w:color="auto" w:fill="F1F1F1"/>
            <w:vAlign w:val="bottom"/>
            <w:hideMark/>
          </w:tcPr>
          <w:p w14:paraId="1009900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Inventories</w:t>
            </w:r>
          </w:p>
        </w:tc>
        <w:tc>
          <w:tcPr>
            <w:tcW w:w="0" w:type="auto"/>
            <w:shd w:val="clear" w:color="auto" w:fill="F1F1F1"/>
            <w:tcMar>
              <w:top w:w="15" w:type="dxa"/>
              <w:left w:w="15" w:type="dxa"/>
              <w:bottom w:w="15" w:type="dxa"/>
              <w:right w:w="0" w:type="dxa"/>
            </w:tcMar>
            <w:vAlign w:val="bottom"/>
            <w:hideMark/>
          </w:tcPr>
          <w:p w14:paraId="59E6229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6CC91B5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402,473,028</w:t>
            </w:r>
          </w:p>
        </w:tc>
        <w:tc>
          <w:tcPr>
            <w:tcW w:w="0" w:type="auto"/>
            <w:shd w:val="clear" w:color="auto" w:fill="F1F1F1"/>
            <w:vAlign w:val="bottom"/>
            <w:hideMark/>
          </w:tcPr>
          <w:p w14:paraId="7A2A024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38A6A12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6B805D8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404,360,270</w:t>
            </w:r>
          </w:p>
        </w:tc>
        <w:tc>
          <w:tcPr>
            <w:tcW w:w="0" w:type="auto"/>
            <w:shd w:val="clear" w:color="auto" w:fill="F1F1F1"/>
            <w:tcMar>
              <w:top w:w="15" w:type="dxa"/>
              <w:left w:w="0" w:type="dxa"/>
              <w:bottom w:w="15" w:type="dxa"/>
              <w:right w:w="15" w:type="dxa"/>
            </w:tcMar>
            <w:vAlign w:val="bottom"/>
            <w:hideMark/>
          </w:tcPr>
          <w:p w14:paraId="36901AF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DB3DA64" w14:textId="77777777" w:rsidTr="0053552B">
        <w:trPr>
          <w:jc w:val="center"/>
        </w:trPr>
        <w:tc>
          <w:tcPr>
            <w:tcW w:w="0" w:type="auto"/>
            <w:vAlign w:val="bottom"/>
            <w:hideMark/>
          </w:tcPr>
          <w:p w14:paraId="2D9C7F7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Other Current Assets</w:t>
            </w:r>
          </w:p>
        </w:tc>
        <w:tc>
          <w:tcPr>
            <w:tcW w:w="0" w:type="auto"/>
            <w:tcBorders>
              <w:bottom w:val="single" w:sz="8" w:space="0" w:color="000000"/>
            </w:tcBorders>
            <w:tcMar>
              <w:top w:w="15" w:type="dxa"/>
              <w:left w:w="15" w:type="dxa"/>
              <w:bottom w:w="15" w:type="dxa"/>
              <w:right w:w="0" w:type="dxa"/>
            </w:tcMar>
            <w:vAlign w:val="bottom"/>
            <w:hideMark/>
          </w:tcPr>
          <w:p w14:paraId="67D2156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tcMar>
              <w:top w:w="15" w:type="dxa"/>
              <w:left w:w="0" w:type="dxa"/>
              <w:bottom w:w="15" w:type="dxa"/>
              <w:right w:w="15" w:type="dxa"/>
            </w:tcMar>
            <w:vAlign w:val="bottom"/>
            <w:hideMark/>
          </w:tcPr>
          <w:p w14:paraId="018BD3D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32,663,762</w:t>
            </w:r>
          </w:p>
        </w:tc>
        <w:tc>
          <w:tcPr>
            <w:tcW w:w="0" w:type="auto"/>
            <w:vAlign w:val="bottom"/>
            <w:hideMark/>
          </w:tcPr>
          <w:p w14:paraId="6C4B3E5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tcMar>
              <w:top w:w="15" w:type="dxa"/>
              <w:left w:w="15" w:type="dxa"/>
              <w:bottom w:w="15" w:type="dxa"/>
              <w:right w:w="0" w:type="dxa"/>
            </w:tcMar>
            <w:vAlign w:val="bottom"/>
            <w:hideMark/>
          </w:tcPr>
          <w:p w14:paraId="1DA2876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tcMar>
              <w:top w:w="15" w:type="dxa"/>
              <w:left w:w="0" w:type="dxa"/>
              <w:bottom w:w="15" w:type="dxa"/>
              <w:right w:w="15" w:type="dxa"/>
            </w:tcMar>
            <w:vAlign w:val="bottom"/>
            <w:hideMark/>
          </w:tcPr>
          <w:p w14:paraId="7F30BDC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30,036,331</w:t>
            </w:r>
          </w:p>
        </w:tc>
        <w:tc>
          <w:tcPr>
            <w:tcW w:w="0" w:type="auto"/>
            <w:tcBorders>
              <w:bottom w:val="single" w:sz="8" w:space="0" w:color="000000"/>
            </w:tcBorders>
            <w:tcMar>
              <w:top w:w="15" w:type="dxa"/>
              <w:left w:w="0" w:type="dxa"/>
              <w:bottom w:w="15" w:type="dxa"/>
              <w:right w:w="15" w:type="dxa"/>
            </w:tcMar>
            <w:vAlign w:val="bottom"/>
            <w:hideMark/>
          </w:tcPr>
          <w:p w14:paraId="0BEE3D5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4723A9C" w14:textId="77777777" w:rsidTr="0053552B">
        <w:trPr>
          <w:jc w:val="center"/>
        </w:trPr>
        <w:tc>
          <w:tcPr>
            <w:tcW w:w="0" w:type="auto"/>
            <w:shd w:val="clear" w:color="auto" w:fill="F1F1F1"/>
            <w:vAlign w:val="bottom"/>
            <w:hideMark/>
          </w:tcPr>
          <w:p w14:paraId="07CE197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Current Assets</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08B42D6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033F426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997,738,153</w:t>
            </w:r>
          </w:p>
        </w:tc>
        <w:tc>
          <w:tcPr>
            <w:tcW w:w="0" w:type="auto"/>
            <w:shd w:val="clear" w:color="auto" w:fill="F1F1F1"/>
            <w:vAlign w:val="bottom"/>
            <w:hideMark/>
          </w:tcPr>
          <w:p w14:paraId="2CE25B4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15" w:type="dxa"/>
              <w:bottom w:w="15" w:type="dxa"/>
              <w:right w:w="0" w:type="dxa"/>
            </w:tcMar>
            <w:vAlign w:val="bottom"/>
            <w:hideMark/>
          </w:tcPr>
          <w:p w14:paraId="02D49D0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31998F3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948,652,376</w:t>
            </w:r>
          </w:p>
        </w:tc>
        <w:tc>
          <w:tcPr>
            <w:tcW w:w="0" w:type="auto"/>
            <w:tcBorders>
              <w:top w:val="single" w:sz="8" w:space="0" w:color="000000"/>
            </w:tcBorders>
            <w:shd w:val="clear" w:color="auto" w:fill="F1F1F1"/>
            <w:tcMar>
              <w:top w:w="15" w:type="dxa"/>
              <w:left w:w="0" w:type="dxa"/>
              <w:bottom w:w="15" w:type="dxa"/>
              <w:right w:w="15" w:type="dxa"/>
            </w:tcMar>
            <w:vAlign w:val="bottom"/>
            <w:hideMark/>
          </w:tcPr>
          <w:p w14:paraId="6B17A06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33CCEF1" w14:textId="77777777" w:rsidTr="0053552B">
        <w:trPr>
          <w:jc w:val="center"/>
        </w:trPr>
        <w:tc>
          <w:tcPr>
            <w:tcW w:w="0" w:type="auto"/>
            <w:vAlign w:val="bottom"/>
            <w:hideMark/>
          </w:tcPr>
          <w:p w14:paraId="2D3F316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6C567E1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4D2F9A4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vAlign w:val="bottom"/>
            <w:hideMark/>
          </w:tcPr>
          <w:p w14:paraId="363FA8D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553FBA11" w14:textId="77777777" w:rsidTr="0053552B">
        <w:trPr>
          <w:jc w:val="center"/>
        </w:trPr>
        <w:tc>
          <w:tcPr>
            <w:tcW w:w="0" w:type="auto"/>
            <w:shd w:val="clear" w:color="auto" w:fill="F1F1F1"/>
            <w:vAlign w:val="bottom"/>
            <w:hideMark/>
          </w:tcPr>
          <w:p w14:paraId="0EDBCC0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Plant and Equipment - Net</w:t>
            </w:r>
          </w:p>
        </w:tc>
        <w:tc>
          <w:tcPr>
            <w:tcW w:w="0" w:type="auto"/>
            <w:shd w:val="clear" w:color="auto" w:fill="F1F1F1"/>
            <w:tcMar>
              <w:top w:w="15" w:type="dxa"/>
              <w:left w:w="15" w:type="dxa"/>
              <w:bottom w:w="15" w:type="dxa"/>
              <w:right w:w="0" w:type="dxa"/>
            </w:tcMar>
            <w:vAlign w:val="bottom"/>
            <w:hideMark/>
          </w:tcPr>
          <w:p w14:paraId="212F895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37B4325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652,877,672</w:t>
            </w:r>
          </w:p>
        </w:tc>
        <w:tc>
          <w:tcPr>
            <w:tcW w:w="0" w:type="auto"/>
            <w:shd w:val="clear" w:color="auto" w:fill="F1F1F1"/>
            <w:vAlign w:val="bottom"/>
            <w:hideMark/>
          </w:tcPr>
          <w:p w14:paraId="16FCBAE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789B14B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7075D64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550,033,036</w:t>
            </w:r>
          </w:p>
        </w:tc>
        <w:tc>
          <w:tcPr>
            <w:tcW w:w="0" w:type="auto"/>
            <w:shd w:val="clear" w:color="auto" w:fill="F1F1F1"/>
            <w:tcMar>
              <w:top w:w="15" w:type="dxa"/>
              <w:left w:w="0" w:type="dxa"/>
              <w:bottom w:w="15" w:type="dxa"/>
              <w:right w:w="15" w:type="dxa"/>
            </w:tcMar>
            <w:vAlign w:val="bottom"/>
            <w:hideMark/>
          </w:tcPr>
          <w:p w14:paraId="73A9D43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2E3EA010" w14:textId="77777777" w:rsidTr="0053552B">
        <w:trPr>
          <w:jc w:val="center"/>
        </w:trPr>
        <w:tc>
          <w:tcPr>
            <w:tcW w:w="0" w:type="auto"/>
            <w:vAlign w:val="bottom"/>
            <w:hideMark/>
          </w:tcPr>
          <w:p w14:paraId="08D207E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vAlign w:val="bottom"/>
            <w:hideMark/>
          </w:tcPr>
          <w:p w14:paraId="7C85E7B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3816ECD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vAlign w:val="bottom"/>
            <w:hideMark/>
          </w:tcPr>
          <w:p w14:paraId="62889EB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772F6054" w14:textId="77777777" w:rsidTr="0053552B">
        <w:trPr>
          <w:jc w:val="center"/>
        </w:trPr>
        <w:tc>
          <w:tcPr>
            <w:tcW w:w="0" w:type="auto"/>
            <w:shd w:val="clear" w:color="auto" w:fill="F1F1F1"/>
            <w:vAlign w:val="bottom"/>
            <w:hideMark/>
          </w:tcPr>
          <w:p w14:paraId="338F52C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Goodwill</w:t>
            </w:r>
          </w:p>
        </w:tc>
        <w:tc>
          <w:tcPr>
            <w:tcW w:w="0" w:type="auto"/>
            <w:shd w:val="clear" w:color="auto" w:fill="F1F1F1"/>
            <w:tcMar>
              <w:top w:w="15" w:type="dxa"/>
              <w:left w:w="15" w:type="dxa"/>
              <w:bottom w:w="15" w:type="dxa"/>
              <w:right w:w="0" w:type="dxa"/>
            </w:tcMar>
            <w:vAlign w:val="bottom"/>
            <w:hideMark/>
          </w:tcPr>
          <w:p w14:paraId="1C66F19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344ECCC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340,105,631</w:t>
            </w:r>
          </w:p>
        </w:tc>
        <w:tc>
          <w:tcPr>
            <w:tcW w:w="0" w:type="auto"/>
            <w:shd w:val="clear" w:color="auto" w:fill="F1F1F1"/>
            <w:vAlign w:val="bottom"/>
            <w:hideMark/>
          </w:tcPr>
          <w:p w14:paraId="4E13AEF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642CE39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292332B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313,807,494</w:t>
            </w:r>
          </w:p>
        </w:tc>
        <w:tc>
          <w:tcPr>
            <w:tcW w:w="0" w:type="auto"/>
            <w:shd w:val="clear" w:color="auto" w:fill="F1F1F1"/>
            <w:tcMar>
              <w:top w:w="15" w:type="dxa"/>
              <w:left w:w="0" w:type="dxa"/>
              <w:bottom w:w="15" w:type="dxa"/>
              <w:right w:w="15" w:type="dxa"/>
            </w:tcMar>
            <w:vAlign w:val="bottom"/>
            <w:hideMark/>
          </w:tcPr>
          <w:p w14:paraId="465CF4F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15A050D3" w14:textId="77777777" w:rsidTr="0053552B">
        <w:trPr>
          <w:jc w:val="center"/>
        </w:trPr>
        <w:tc>
          <w:tcPr>
            <w:tcW w:w="0" w:type="auto"/>
            <w:vAlign w:val="bottom"/>
            <w:hideMark/>
          </w:tcPr>
          <w:p w14:paraId="6F8F6F3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Long-Term Investments</w:t>
            </w:r>
          </w:p>
        </w:tc>
        <w:tc>
          <w:tcPr>
            <w:tcW w:w="0" w:type="auto"/>
            <w:tcMar>
              <w:top w:w="15" w:type="dxa"/>
              <w:left w:w="15" w:type="dxa"/>
              <w:bottom w:w="15" w:type="dxa"/>
              <w:right w:w="0" w:type="dxa"/>
            </w:tcMar>
            <w:vAlign w:val="bottom"/>
            <w:hideMark/>
          </w:tcPr>
          <w:p w14:paraId="6CAACF8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6FE81E3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299,080,876</w:t>
            </w:r>
          </w:p>
        </w:tc>
        <w:tc>
          <w:tcPr>
            <w:tcW w:w="0" w:type="auto"/>
            <w:vAlign w:val="bottom"/>
            <w:hideMark/>
          </w:tcPr>
          <w:p w14:paraId="36DC42C1"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3AF9BC0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19B04C0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202,331,983</w:t>
            </w:r>
          </w:p>
        </w:tc>
        <w:tc>
          <w:tcPr>
            <w:tcW w:w="0" w:type="auto"/>
            <w:tcMar>
              <w:top w:w="15" w:type="dxa"/>
              <w:left w:w="0" w:type="dxa"/>
              <w:bottom w:w="15" w:type="dxa"/>
              <w:right w:w="15" w:type="dxa"/>
            </w:tcMar>
            <w:vAlign w:val="bottom"/>
            <w:hideMark/>
          </w:tcPr>
          <w:p w14:paraId="1B61E52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579E91E" w14:textId="77777777" w:rsidTr="0053552B">
        <w:trPr>
          <w:jc w:val="center"/>
        </w:trPr>
        <w:tc>
          <w:tcPr>
            <w:tcW w:w="0" w:type="auto"/>
            <w:shd w:val="clear" w:color="auto" w:fill="F1F1F1"/>
            <w:vAlign w:val="bottom"/>
            <w:hideMark/>
          </w:tcPr>
          <w:p w14:paraId="424971B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Intangible Assets</w:t>
            </w:r>
          </w:p>
        </w:tc>
        <w:tc>
          <w:tcPr>
            <w:tcW w:w="0" w:type="auto"/>
            <w:shd w:val="clear" w:color="auto" w:fill="F1F1F1"/>
            <w:tcMar>
              <w:top w:w="15" w:type="dxa"/>
              <w:left w:w="15" w:type="dxa"/>
              <w:bottom w:w="15" w:type="dxa"/>
              <w:right w:w="0" w:type="dxa"/>
            </w:tcMar>
            <w:vAlign w:val="bottom"/>
            <w:hideMark/>
          </w:tcPr>
          <w:p w14:paraId="169C42C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03B9FF0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214,005,910</w:t>
            </w:r>
          </w:p>
        </w:tc>
        <w:tc>
          <w:tcPr>
            <w:tcW w:w="0" w:type="auto"/>
            <w:shd w:val="clear" w:color="auto" w:fill="F1F1F1"/>
            <w:vAlign w:val="bottom"/>
            <w:hideMark/>
          </w:tcPr>
          <w:p w14:paraId="117A186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1407AF65"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0" w:type="dxa"/>
              <w:bottom w:w="15" w:type="dxa"/>
              <w:right w:w="15" w:type="dxa"/>
            </w:tcMar>
            <w:vAlign w:val="bottom"/>
            <w:hideMark/>
          </w:tcPr>
          <w:p w14:paraId="05E0661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219,360,910</w:t>
            </w:r>
          </w:p>
        </w:tc>
        <w:tc>
          <w:tcPr>
            <w:tcW w:w="0" w:type="auto"/>
            <w:shd w:val="clear" w:color="auto" w:fill="F1F1F1"/>
            <w:tcMar>
              <w:top w:w="15" w:type="dxa"/>
              <w:left w:w="0" w:type="dxa"/>
              <w:bottom w:w="15" w:type="dxa"/>
              <w:right w:w="15" w:type="dxa"/>
            </w:tcMar>
            <w:vAlign w:val="bottom"/>
            <w:hideMark/>
          </w:tcPr>
          <w:p w14:paraId="0CB98D9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419D8309" w14:textId="77777777" w:rsidTr="0053552B">
        <w:trPr>
          <w:jc w:val="center"/>
        </w:trPr>
        <w:tc>
          <w:tcPr>
            <w:tcW w:w="0" w:type="auto"/>
            <w:vAlign w:val="bottom"/>
            <w:hideMark/>
          </w:tcPr>
          <w:p w14:paraId="70F1092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Deferred Tax Asset</w:t>
            </w:r>
          </w:p>
        </w:tc>
        <w:tc>
          <w:tcPr>
            <w:tcW w:w="0" w:type="auto"/>
            <w:tcMar>
              <w:top w:w="15" w:type="dxa"/>
              <w:left w:w="15" w:type="dxa"/>
              <w:bottom w:w="15" w:type="dxa"/>
              <w:right w:w="0" w:type="dxa"/>
            </w:tcMar>
            <w:vAlign w:val="bottom"/>
            <w:hideMark/>
          </w:tcPr>
          <w:p w14:paraId="69F7F9A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69322EC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41,113,759</w:t>
            </w:r>
          </w:p>
        </w:tc>
        <w:tc>
          <w:tcPr>
            <w:tcW w:w="0" w:type="auto"/>
            <w:vAlign w:val="bottom"/>
            <w:hideMark/>
          </w:tcPr>
          <w:p w14:paraId="453A36D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655734D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5D94032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25,528,700</w:t>
            </w:r>
          </w:p>
        </w:tc>
        <w:tc>
          <w:tcPr>
            <w:tcW w:w="0" w:type="auto"/>
            <w:tcMar>
              <w:top w:w="15" w:type="dxa"/>
              <w:left w:w="0" w:type="dxa"/>
              <w:bottom w:w="15" w:type="dxa"/>
              <w:right w:w="15" w:type="dxa"/>
            </w:tcMar>
            <w:vAlign w:val="bottom"/>
            <w:hideMark/>
          </w:tcPr>
          <w:p w14:paraId="124A25E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72BB1829" w14:textId="77777777" w:rsidTr="0053552B">
        <w:trPr>
          <w:jc w:val="center"/>
        </w:trPr>
        <w:tc>
          <w:tcPr>
            <w:tcW w:w="0" w:type="auto"/>
            <w:shd w:val="clear" w:color="auto" w:fill="F1F1F1"/>
            <w:vAlign w:val="bottom"/>
            <w:hideMark/>
          </w:tcPr>
          <w:p w14:paraId="52B8C1D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Patents and Other Assets</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14F2341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2AC468E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66,515,551</w:t>
            </w:r>
          </w:p>
        </w:tc>
        <w:tc>
          <w:tcPr>
            <w:tcW w:w="0" w:type="auto"/>
            <w:shd w:val="clear" w:color="auto" w:fill="F1F1F1"/>
            <w:vAlign w:val="bottom"/>
            <w:hideMark/>
          </w:tcPr>
          <w:p w14:paraId="4BF897D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1AE608F8"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05F2E13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67,515,425</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51B6F3F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6787F523" w14:textId="77777777" w:rsidTr="0053552B">
        <w:trPr>
          <w:jc w:val="center"/>
        </w:trPr>
        <w:tc>
          <w:tcPr>
            <w:tcW w:w="0" w:type="auto"/>
            <w:vAlign w:val="bottom"/>
            <w:hideMark/>
          </w:tcPr>
          <w:p w14:paraId="0E9AC247"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Other Assets</w:t>
            </w:r>
          </w:p>
        </w:tc>
        <w:tc>
          <w:tcPr>
            <w:tcW w:w="0" w:type="auto"/>
            <w:tcBorders>
              <w:top w:val="single" w:sz="8" w:space="0" w:color="000000"/>
            </w:tcBorders>
            <w:tcMar>
              <w:top w:w="15" w:type="dxa"/>
              <w:left w:w="15" w:type="dxa"/>
              <w:bottom w:w="15" w:type="dxa"/>
              <w:right w:w="0" w:type="dxa"/>
            </w:tcMar>
            <w:vAlign w:val="bottom"/>
            <w:hideMark/>
          </w:tcPr>
          <w:p w14:paraId="621BC82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5ED9658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960,821,727</w:t>
            </w:r>
          </w:p>
        </w:tc>
        <w:tc>
          <w:tcPr>
            <w:tcW w:w="0" w:type="auto"/>
            <w:vAlign w:val="bottom"/>
            <w:hideMark/>
          </w:tcPr>
          <w:p w14:paraId="5518566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21B70136"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0" w:type="dxa"/>
              <w:bottom w:w="15" w:type="dxa"/>
              <w:right w:w="15" w:type="dxa"/>
            </w:tcMar>
            <w:vAlign w:val="bottom"/>
            <w:hideMark/>
          </w:tcPr>
          <w:p w14:paraId="04B6480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828,544,512</w:t>
            </w:r>
          </w:p>
        </w:tc>
        <w:tc>
          <w:tcPr>
            <w:tcW w:w="0" w:type="auto"/>
            <w:tcBorders>
              <w:top w:val="single" w:sz="8" w:space="0" w:color="000000"/>
            </w:tcBorders>
            <w:tcMar>
              <w:top w:w="15" w:type="dxa"/>
              <w:left w:w="0" w:type="dxa"/>
              <w:bottom w:w="15" w:type="dxa"/>
              <w:right w:w="15" w:type="dxa"/>
            </w:tcMar>
            <w:vAlign w:val="bottom"/>
            <w:hideMark/>
          </w:tcPr>
          <w:p w14:paraId="5FF57B4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3F56A09E" w14:textId="77777777" w:rsidTr="0053552B">
        <w:trPr>
          <w:jc w:val="center"/>
        </w:trPr>
        <w:tc>
          <w:tcPr>
            <w:tcW w:w="0" w:type="auto"/>
            <w:shd w:val="clear" w:color="auto" w:fill="F1F1F1"/>
            <w:vAlign w:val="bottom"/>
            <w:hideMark/>
          </w:tcPr>
          <w:p w14:paraId="65D43A72"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bottom w:val="single" w:sz="8" w:space="0" w:color="000000"/>
            </w:tcBorders>
            <w:shd w:val="clear" w:color="auto" w:fill="F1F1F1"/>
            <w:vAlign w:val="bottom"/>
            <w:hideMark/>
          </w:tcPr>
          <w:p w14:paraId="19D3157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51EC095E"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bottom w:val="single" w:sz="8" w:space="0" w:color="000000"/>
            </w:tcBorders>
            <w:shd w:val="clear" w:color="auto" w:fill="F1F1F1"/>
            <w:vAlign w:val="bottom"/>
            <w:hideMark/>
          </w:tcPr>
          <w:p w14:paraId="6730346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717FDFC6" w14:textId="77777777" w:rsidTr="0053552B">
        <w:trPr>
          <w:jc w:val="center"/>
        </w:trPr>
        <w:tc>
          <w:tcPr>
            <w:tcW w:w="0" w:type="auto"/>
            <w:vAlign w:val="bottom"/>
            <w:hideMark/>
          </w:tcPr>
          <w:p w14:paraId="795CA164"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Assets</w:t>
            </w:r>
          </w:p>
        </w:tc>
        <w:tc>
          <w:tcPr>
            <w:tcW w:w="0" w:type="auto"/>
            <w:tcBorders>
              <w:top w:val="single" w:sz="8" w:space="0" w:color="000000"/>
            </w:tcBorders>
            <w:tcMar>
              <w:top w:w="15" w:type="dxa"/>
              <w:left w:w="15" w:type="dxa"/>
              <w:bottom w:w="15" w:type="dxa"/>
              <w:right w:w="0" w:type="dxa"/>
            </w:tcMar>
            <w:vAlign w:val="bottom"/>
            <w:hideMark/>
          </w:tcPr>
          <w:p w14:paraId="71A86AE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651AA14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2,611,437,552</w:t>
            </w:r>
          </w:p>
        </w:tc>
        <w:tc>
          <w:tcPr>
            <w:tcW w:w="0" w:type="auto"/>
            <w:vAlign w:val="bottom"/>
            <w:hideMark/>
          </w:tcPr>
          <w:p w14:paraId="49AAB80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3563A39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4A879BA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2,327,229,924</w:t>
            </w:r>
          </w:p>
        </w:tc>
        <w:tc>
          <w:tcPr>
            <w:tcW w:w="0" w:type="auto"/>
            <w:tcBorders>
              <w:top w:val="single" w:sz="8" w:space="0" w:color="000000"/>
            </w:tcBorders>
            <w:tcMar>
              <w:top w:w="15" w:type="dxa"/>
              <w:left w:w="0" w:type="dxa"/>
              <w:bottom w:w="15" w:type="dxa"/>
              <w:right w:w="15" w:type="dxa"/>
            </w:tcMar>
            <w:vAlign w:val="bottom"/>
            <w:hideMark/>
          </w:tcPr>
          <w:p w14:paraId="4F6BB15B"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47FB806" w14:textId="77777777" w:rsidTr="0053552B">
        <w:trPr>
          <w:jc w:val="center"/>
        </w:trPr>
        <w:tc>
          <w:tcPr>
            <w:tcW w:w="0" w:type="auto"/>
            <w:shd w:val="clear" w:color="auto" w:fill="F1F1F1"/>
            <w:vAlign w:val="bottom"/>
            <w:hideMark/>
          </w:tcPr>
          <w:p w14:paraId="51B8A87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2"/>
            <w:tcBorders>
              <w:top w:val="double" w:sz="6" w:space="0" w:color="000000"/>
            </w:tcBorders>
            <w:shd w:val="clear" w:color="auto" w:fill="F1F1F1"/>
            <w:vAlign w:val="bottom"/>
            <w:hideMark/>
          </w:tcPr>
          <w:p w14:paraId="3423A8A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vAlign w:val="bottom"/>
            <w:hideMark/>
          </w:tcPr>
          <w:p w14:paraId="570B180A"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tcBorders>
              <w:top w:val="double" w:sz="6" w:space="0" w:color="000000"/>
            </w:tcBorders>
            <w:shd w:val="clear" w:color="auto" w:fill="F1F1F1"/>
            <w:vAlign w:val="bottom"/>
            <w:hideMark/>
          </w:tcPr>
          <w:p w14:paraId="5FA628FF"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688DBD8F" w14:textId="77777777" w:rsidTr="0053552B">
        <w:trPr>
          <w:jc w:val="center"/>
        </w:trPr>
        <w:tc>
          <w:tcPr>
            <w:tcW w:w="0" w:type="auto"/>
            <w:vAlign w:val="bottom"/>
            <w:hideMark/>
          </w:tcPr>
          <w:p w14:paraId="32C37B8C"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LIABILITIES AND SHAREHOLDERS' INVESTMENT</w:t>
            </w:r>
          </w:p>
        </w:tc>
        <w:tc>
          <w:tcPr>
            <w:tcW w:w="0" w:type="auto"/>
            <w:gridSpan w:val="2"/>
            <w:vAlign w:val="bottom"/>
            <w:hideMark/>
          </w:tcPr>
          <w:p w14:paraId="10677AA3"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vAlign w:val="bottom"/>
            <w:hideMark/>
          </w:tcPr>
          <w:p w14:paraId="6CD86B58"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gridSpan w:val="3"/>
            <w:vAlign w:val="bottom"/>
            <w:hideMark/>
          </w:tcPr>
          <w:p w14:paraId="459B0EA6"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14B845D6" w14:textId="77777777" w:rsidTr="0053552B">
        <w:trPr>
          <w:jc w:val="center"/>
        </w:trPr>
        <w:tc>
          <w:tcPr>
            <w:tcW w:w="0" w:type="auto"/>
            <w:shd w:val="clear" w:color="auto" w:fill="F1F1F1"/>
            <w:vAlign w:val="bottom"/>
            <w:hideMark/>
          </w:tcPr>
          <w:p w14:paraId="20AE0D3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Current Liabilities</w:t>
            </w:r>
          </w:p>
        </w:tc>
        <w:tc>
          <w:tcPr>
            <w:tcW w:w="0" w:type="auto"/>
            <w:shd w:val="clear" w:color="auto" w:fill="F1F1F1"/>
            <w:tcMar>
              <w:top w:w="15" w:type="dxa"/>
              <w:left w:w="15" w:type="dxa"/>
              <w:bottom w:w="15" w:type="dxa"/>
              <w:right w:w="0" w:type="dxa"/>
            </w:tcMar>
            <w:vAlign w:val="bottom"/>
            <w:hideMark/>
          </w:tcPr>
          <w:p w14:paraId="503CB60A"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15" w:type="dxa"/>
            </w:tcMar>
            <w:vAlign w:val="bottom"/>
            <w:hideMark/>
          </w:tcPr>
          <w:p w14:paraId="4420820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271,608,976</w:t>
            </w:r>
          </w:p>
        </w:tc>
        <w:tc>
          <w:tcPr>
            <w:tcW w:w="0" w:type="auto"/>
            <w:shd w:val="clear" w:color="auto" w:fill="F1F1F1"/>
            <w:vAlign w:val="bottom"/>
            <w:hideMark/>
          </w:tcPr>
          <w:p w14:paraId="2E297C65"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shd w:val="clear" w:color="auto" w:fill="F1F1F1"/>
            <w:tcMar>
              <w:top w:w="15" w:type="dxa"/>
              <w:left w:w="15" w:type="dxa"/>
              <w:bottom w:w="15" w:type="dxa"/>
              <w:right w:w="0" w:type="dxa"/>
            </w:tcMar>
            <w:vAlign w:val="bottom"/>
            <w:hideMark/>
          </w:tcPr>
          <w:p w14:paraId="08960277"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shd w:val="clear" w:color="auto" w:fill="F1F1F1"/>
            <w:tcMar>
              <w:top w:w="15" w:type="dxa"/>
              <w:left w:w="0" w:type="dxa"/>
              <w:bottom w:w="15" w:type="dxa"/>
              <w:right w:w="15" w:type="dxa"/>
            </w:tcMar>
            <w:vAlign w:val="bottom"/>
            <w:hideMark/>
          </w:tcPr>
          <w:p w14:paraId="7DE9458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250,552,752</w:t>
            </w:r>
          </w:p>
        </w:tc>
        <w:tc>
          <w:tcPr>
            <w:tcW w:w="0" w:type="auto"/>
            <w:shd w:val="clear" w:color="auto" w:fill="F1F1F1"/>
            <w:tcMar>
              <w:top w:w="15" w:type="dxa"/>
              <w:left w:w="0" w:type="dxa"/>
              <w:bottom w:w="15" w:type="dxa"/>
              <w:right w:w="15" w:type="dxa"/>
            </w:tcMar>
            <w:vAlign w:val="bottom"/>
            <w:hideMark/>
          </w:tcPr>
          <w:p w14:paraId="791E268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1794DF1F" w14:textId="77777777" w:rsidTr="0053552B">
        <w:trPr>
          <w:jc w:val="center"/>
        </w:trPr>
        <w:tc>
          <w:tcPr>
            <w:tcW w:w="0" w:type="auto"/>
            <w:vAlign w:val="bottom"/>
            <w:hideMark/>
          </w:tcPr>
          <w:p w14:paraId="7C5BD8E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Other Non-current Liabilities</w:t>
            </w:r>
          </w:p>
        </w:tc>
        <w:tc>
          <w:tcPr>
            <w:tcW w:w="0" w:type="auto"/>
            <w:tcMar>
              <w:top w:w="15" w:type="dxa"/>
              <w:left w:w="15" w:type="dxa"/>
              <w:bottom w:w="15" w:type="dxa"/>
              <w:right w:w="0" w:type="dxa"/>
            </w:tcMar>
            <w:vAlign w:val="bottom"/>
            <w:hideMark/>
          </w:tcPr>
          <w:p w14:paraId="6A9D6F5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34C5FB0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27,311,507</w:t>
            </w:r>
          </w:p>
        </w:tc>
        <w:tc>
          <w:tcPr>
            <w:tcW w:w="0" w:type="auto"/>
            <w:vAlign w:val="bottom"/>
            <w:hideMark/>
          </w:tcPr>
          <w:p w14:paraId="2A3D31BD"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15" w:type="dxa"/>
              <w:bottom w:w="15" w:type="dxa"/>
              <w:right w:w="0" w:type="dxa"/>
            </w:tcMar>
            <w:vAlign w:val="bottom"/>
            <w:hideMark/>
          </w:tcPr>
          <w:p w14:paraId="08A9D77C"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Mar>
              <w:top w:w="15" w:type="dxa"/>
              <w:left w:w="0" w:type="dxa"/>
              <w:bottom w:w="15" w:type="dxa"/>
              <w:right w:w="15" w:type="dxa"/>
            </w:tcMar>
            <w:vAlign w:val="bottom"/>
            <w:hideMark/>
          </w:tcPr>
          <w:p w14:paraId="76BC6FE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10,884,351</w:t>
            </w:r>
          </w:p>
        </w:tc>
        <w:tc>
          <w:tcPr>
            <w:tcW w:w="0" w:type="auto"/>
            <w:tcMar>
              <w:top w:w="15" w:type="dxa"/>
              <w:left w:w="0" w:type="dxa"/>
              <w:bottom w:w="15" w:type="dxa"/>
              <w:right w:w="15" w:type="dxa"/>
            </w:tcMar>
            <w:vAlign w:val="bottom"/>
            <w:hideMark/>
          </w:tcPr>
          <w:p w14:paraId="361D2804"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23B1E2D0" w14:textId="77777777" w:rsidTr="0053552B">
        <w:trPr>
          <w:jc w:val="center"/>
        </w:trPr>
        <w:tc>
          <w:tcPr>
            <w:tcW w:w="0" w:type="auto"/>
            <w:shd w:val="clear" w:color="auto" w:fill="F1F1F1"/>
            <w:vAlign w:val="bottom"/>
            <w:hideMark/>
          </w:tcPr>
          <w:p w14:paraId="45406E8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Shareholders' Investment</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53DDB2DF"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7B23EFD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2,312,517,069</w:t>
            </w:r>
          </w:p>
        </w:tc>
        <w:tc>
          <w:tcPr>
            <w:tcW w:w="0" w:type="auto"/>
            <w:shd w:val="clear" w:color="auto" w:fill="F1F1F1"/>
            <w:vAlign w:val="bottom"/>
            <w:hideMark/>
          </w:tcPr>
          <w:p w14:paraId="2CB45130"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15" w:type="dxa"/>
              <w:bottom w:w="15" w:type="dxa"/>
              <w:right w:w="0" w:type="dxa"/>
            </w:tcMar>
            <w:vAlign w:val="bottom"/>
            <w:hideMark/>
          </w:tcPr>
          <w:p w14:paraId="1C9B68B2"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10C285E"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2,065,792,821</w:t>
            </w:r>
          </w:p>
        </w:tc>
        <w:tc>
          <w:tcPr>
            <w:tcW w:w="0" w:type="auto"/>
            <w:tcBorders>
              <w:bottom w:val="single" w:sz="8" w:space="0" w:color="000000"/>
            </w:tcBorders>
            <w:shd w:val="clear" w:color="auto" w:fill="F1F1F1"/>
            <w:tcMar>
              <w:top w:w="15" w:type="dxa"/>
              <w:left w:w="0" w:type="dxa"/>
              <w:bottom w:w="15" w:type="dxa"/>
              <w:right w:w="15" w:type="dxa"/>
            </w:tcMar>
            <w:vAlign w:val="bottom"/>
            <w:hideMark/>
          </w:tcPr>
          <w:p w14:paraId="1A755E5D"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r w:rsidR="0053552B" w:rsidRPr="0053552B" w14:paraId="032155CE" w14:textId="77777777" w:rsidTr="0053552B">
        <w:trPr>
          <w:jc w:val="center"/>
        </w:trPr>
        <w:tc>
          <w:tcPr>
            <w:tcW w:w="0" w:type="auto"/>
            <w:vAlign w:val="bottom"/>
            <w:hideMark/>
          </w:tcPr>
          <w:p w14:paraId="7A5714E9"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Total Liabilities &amp; Shareholders' Investment</w:t>
            </w:r>
          </w:p>
        </w:tc>
        <w:tc>
          <w:tcPr>
            <w:tcW w:w="0" w:type="auto"/>
            <w:tcBorders>
              <w:top w:val="single" w:sz="8" w:space="0" w:color="000000"/>
            </w:tcBorders>
            <w:tcMar>
              <w:top w:w="15" w:type="dxa"/>
              <w:left w:w="15" w:type="dxa"/>
              <w:bottom w:w="15" w:type="dxa"/>
              <w:right w:w="0" w:type="dxa"/>
            </w:tcMar>
            <w:vAlign w:val="bottom"/>
            <w:hideMark/>
          </w:tcPr>
          <w:p w14:paraId="79CA1631"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58C25733"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2,611,437,552</w:t>
            </w:r>
          </w:p>
        </w:tc>
        <w:tc>
          <w:tcPr>
            <w:tcW w:w="0" w:type="auto"/>
            <w:vAlign w:val="bottom"/>
            <w:hideMark/>
          </w:tcPr>
          <w:p w14:paraId="3298340B" w14:textId="77777777" w:rsidR="0053552B" w:rsidRPr="0053552B" w:rsidRDefault="0053552B" w:rsidP="0053552B">
            <w:pPr>
              <w:spacing w:after="0" w:line="240" w:lineRule="auto"/>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c>
          <w:tcPr>
            <w:tcW w:w="0" w:type="auto"/>
            <w:tcBorders>
              <w:top w:val="single" w:sz="8" w:space="0" w:color="000000"/>
            </w:tcBorders>
            <w:tcMar>
              <w:top w:w="15" w:type="dxa"/>
              <w:left w:w="15" w:type="dxa"/>
              <w:bottom w:w="15" w:type="dxa"/>
              <w:right w:w="0" w:type="dxa"/>
            </w:tcMar>
            <w:vAlign w:val="bottom"/>
            <w:hideMark/>
          </w:tcPr>
          <w:p w14:paraId="14114EC9"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w:t>
            </w:r>
          </w:p>
        </w:tc>
        <w:tc>
          <w:tcPr>
            <w:tcW w:w="0" w:type="auto"/>
            <w:tcBorders>
              <w:top w:val="single" w:sz="8" w:space="0" w:color="000000"/>
            </w:tcBorders>
            <w:tcMar>
              <w:top w:w="15" w:type="dxa"/>
              <w:left w:w="0" w:type="dxa"/>
              <w:bottom w:w="15" w:type="dxa"/>
              <w:right w:w="15" w:type="dxa"/>
            </w:tcMar>
            <w:vAlign w:val="bottom"/>
            <w:hideMark/>
          </w:tcPr>
          <w:p w14:paraId="77081EC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2,327,229,924</w:t>
            </w:r>
          </w:p>
        </w:tc>
        <w:tc>
          <w:tcPr>
            <w:tcW w:w="0" w:type="auto"/>
            <w:tcBorders>
              <w:top w:val="single" w:sz="8" w:space="0" w:color="000000"/>
            </w:tcBorders>
            <w:tcMar>
              <w:top w:w="15" w:type="dxa"/>
              <w:left w:w="0" w:type="dxa"/>
              <w:bottom w:w="15" w:type="dxa"/>
              <w:right w:w="15" w:type="dxa"/>
            </w:tcMar>
            <w:vAlign w:val="bottom"/>
            <w:hideMark/>
          </w:tcPr>
          <w:p w14:paraId="0D90B2A0" w14:textId="77777777" w:rsidR="0053552B" w:rsidRPr="0053552B" w:rsidRDefault="0053552B" w:rsidP="0053552B">
            <w:pPr>
              <w:spacing w:after="0" w:line="240" w:lineRule="auto"/>
              <w:jc w:val="right"/>
              <w:rPr>
                <w:rFonts w:ascii="Verdana" w:eastAsia="Times New Roman" w:hAnsi="Verdana" w:cs="Times New Roman"/>
                <w:kern w:val="0"/>
                <w:sz w:val="24"/>
                <w:szCs w:val="24"/>
                <w14:ligatures w14:val="none"/>
              </w:rPr>
            </w:pPr>
            <w:r w:rsidRPr="0053552B">
              <w:rPr>
                <w:rFonts w:ascii="Verdana" w:eastAsia="Times New Roman" w:hAnsi="Verdana" w:cs="Times New Roman"/>
                <w:kern w:val="0"/>
                <w:sz w:val="24"/>
                <w:szCs w:val="24"/>
                <w14:ligatures w14:val="none"/>
              </w:rPr>
              <w:t> </w:t>
            </w:r>
          </w:p>
        </w:tc>
      </w:tr>
    </w:tbl>
    <w:p w14:paraId="30E583B9"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 </w:t>
      </w:r>
    </w:p>
    <w:p w14:paraId="6FFB1969" w14:textId="70651D5B" w:rsidR="0053552B" w:rsidRPr="0053552B" w:rsidRDefault="0053552B" w:rsidP="0053552B">
      <w:pPr>
        <w:shd w:val="clear" w:color="auto" w:fill="FFFFFF"/>
        <w:spacing w:after="0"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noProof/>
          <w:color w:val="0A0A0A"/>
          <w:kern w:val="0"/>
          <w:sz w:val="24"/>
          <w:szCs w:val="24"/>
          <w14:ligatures w14:val="none"/>
        </w:rPr>
        <w:drawing>
          <wp:inline distT="0" distB="0" distL="0" distR="0" wp14:anchorId="1A9CD4B0" wp14:editId="61C57D4F">
            <wp:extent cx="6350" cy="6350"/>
            <wp:effectExtent l="0" t="0" r="0" b="0"/>
            <wp:docPr id="9744366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3552B">
        <w:rPr>
          <w:rFonts w:ascii="Verdana" w:eastAsia="Times New Roman" w:hAnsi="Verdana" w:cs="Times New Roman"/>
          <w:color w:val="0A0A0A"/>
          <w:kern w:val="0"/>
          <w:sz w:val="24"/>
          <w:szCs w:val="24"/>
          <w14:ligatures w14:val="none"/>
        </w:rPr>
        <w:br/>
      </w:r>
      <w:r w:rsidRPr="0053552B">
        <w:rPr>
          <w:rFonts w:ascii="Verdana" w:eastAsia="Times New Roman" w:hAnsi="Verdana" w:cs="Times New Roman"/>
          <w:noProof/>
          <w:color w:val="0A0A0A"/>
          <w:kern w:val="0"/>
          <w:sz w:val="24"/>
          <w:szCs w:val="24"/>
          <w14:ligatures w14:val="none"/>
        </w:rPr>
        <w:drawing>
          <wp:inline distT="0" distB="0" distL="0" distR="0" wp14:anchorId="0D981C96" wp14:editId="72216904">
            <wp:extent cx="6350" cy="6350"/>
            <wp:effectExtent l="0" t="0" r="0" b="0"/>
            <wp:docPr id="1986461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F0AD3BF" w14:textId="1E7BC69F"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noProof/>
          <w:color w:val="4C4C4C"/>
          <w:kern w:val="0"/>
          <w:sz w:val="24"/>
          <w:szCs w:val="24"/>
          <w14:ligatures w14:val="none"/>
        </w:rPr>
        <w:drawing>
          <wp:inline distT="0" distB="0" distL="0" distR="0" wp14:anchorId="1F8D6642" wp14:editId="1A1B2589">
            <wp:extent cx="1428750" cy="304800"/>
            <wp:effectExtent l="0" t="0" r="0" b="0"/>
            <wp:docPr id="837218415" name="Picture 1" descr="Primary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p w14:paraId="2D6A10F1" w14:textId="77777777" w:rsidR="0053552B" w:rsidRPr="0053552B" w:rsidRDefault="0053552B" w:rsidP="0053552B">
      <w:pPr>
        <w:shd w:val="clear" w:color="auto" w:fill="FFFFFF"/>
        <w:spacing w:before="100" w:beforeAutospacing="1" w:after="100" w:afterAutospacing="1" w:line="240" w:lineRule="auto"/>
        <w:rPr>
          <w:rFonts w:ascii="Verdana" w:eastAsia="Times New Roman" w:hAnsi="Verdana" w:cs="Times New Roman"/>
          <w:color w:val="0A0A0A"/>
          <w:kern w:val="0"/>
          <w:sz w:val="24"/>
          <w:szCs w:val="24"/>
          <w14:ligatures w14:val="none"/>
        </w:rPr>
      </w:pPr>
      <w:r w:rsidRPr="0053552B">
        <w:rPr>
          <w:rFonts w:ascii="Verdana" w:eastAsia="Times New Roman" w:hAnsi="Verdana" w:cs="Times New Roman"/>
          <w:color w:val="0A0A0A"/>
          <w:kern w:val="0"/>
          <w:sz w:val="24"/>
          <w:szCs w:val="24"/>
          <w14:ligatures w14:val="none"/>
        </w:rPr>
        <w:t>Source: Gentex Corporation</w:t>
      </w:r>
    </w:p>
    <w:p w14:paraId="27C49BDE" w14:textId="77777777" w:rsidR="0053552B" w:rsidRPr="0053552B" w:rsidRDefault="0053552B">
      <w:pPr>
        <w:rPr>
          <w:rFonts w:ascii="Verdana" w:hAnsi="Verdana"/>
          <w:sz w:val="24"/>
          <w:szCs w:val="24"/>
        </w:rPr>
      </w:pPr>
    </w:p>
    <w:sectPr w:rsidR="0053552B" w:rsidRPr="0053552B" w:rsidSect="003A467D">
      <w:pgSz w:w="12240" w:h="15840" w:code="1"/>
      <w:pgMar w:top="1008" w:right="1152" w:bottom="1008" w:left="1152" w:header="54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3500"/>
    <w:multiLevelType w:val="multilevel"/>
    <w:tmpl w:val="E3C6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333266">
    <w:abstractNumId w:val="0"/>
  </w:num>
  <w:num w:numId="2" w16cid:durableId="1579973981">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424031899">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822739282">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1000229350">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500388194">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30617312">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658920613">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285084264">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15316429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1024551249">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16cid:durableId="2004432153">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16cid:durableId="43687496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2B"/>
    <w:rsid w:val="00021B5C"/>
    <w:rsid w:val="001B0F30"/>
    <w:rsid w:val="003065FF"/>
    <w:rsid w:val="003A467D"/>
    <w:rsid w:val="0053552B"/>
    <w:rsid w:val="007163C0"/>
    <w:rsid w:val="0089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0FEE"/>
  <w15:chartTrackingRefBased/>
  <w15:docId w15:val="{BE2F2EC9-34FD-4D0E-9D65-3751568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552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2B"/>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5355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ile">
    <w:name w:val="file"/>
    <w:basedOn w:val="DefaultParagraphFont"/>
    <w:rsid w:val="0053552B"/>
  </w:style>
  <w:style w:type="character" w:styleId="Hyperlink">
    <w:name w:val="Hyperlink"/>
    <w:basedOn w:val="DefaultParagraphFont"/>
    <w:uiPriority w:val="99"/>
    <w:semiHidden/>
    <w:unhideWhenUsed/>
    <w:rsid w:val="0053552B"/>
    <w:rPr>
      <w:color w:val="0000FF"/>
      <w:u w:val="single"/>
    </w:rPr>
  </w:style>
  <w:style w:type="character" w:styleId="FollowedHyperlink">
    <w:name w:val="FollowedHyperlink"/>
    <w:basedOn w:val="DefaultParagraphFont"/>
    <w:uiPriority w:val="99"/>
    <w:semiHidden/>
    <w:unhideWhenUsed/>
    <w:rsid w:val="0053552B"/>
    <w:rPr>
      <w:color w:val="800080"/>
      <w:u w:val="single"/>
    </w:rPr>
  </w:style>
  <w:style w:type="paragraph" w:styleId="NormalWeb">
    <w:name w:val="Normal (Web)"/>
    <w:basedOn w:val="Normal"/>
    <w:uiPriority w:val="99"/>
    <w:semiHidden/>
    <w:unhideWhenUsed/>
    <w:rsid w:val="005355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3552B"/>
    <w:rPr>
      <w:b/>
      <w:bCs/>
    </w:rPr>
  </w:style>
  <w:style w:type="character" w:styleId="Emphasis">
    <w:name w:val="Emphasis"/>
    <w:basedOn w:val="DefaultParagraphFont"/>
    <w:uiPriority w:val="20"/>
    <w:qFormat/>
    <w:rsid w:val="00535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620">
      <w:bodyDiv w:val="1"/>
      <w:marLeft w:val="0"/>
      <w:marRight w:val="0"/>
      <w:marTop w:val="0"/>
      <w:marBottom w:val="0"/>
      <w:divBdr>
        <w:top w:val="none" w:sz="0" w:space="0" w:color="auto"/>
        <w:left w:val="none" w:sz="0" w:space="0" w:color="auto"/>
        <w:bottom w:val="none" w:sz="0" w:space="0" w:color="auto"/>
        <w:right w:val="none" w:sz="0" w:space="0" w:color="auto"/>
      </w:divBdr>
      <w:divsChild>
        <w:div w:id="996228282">
          <w:marLeft w:val="0"/>
          <w:marRight w:val="0"/>
          <w:marTop w:val="0"/>
          <w:marBottom w:val="450"/>
          <w:divBdr>
            <w:top w:val="none" w:sz="0" w:space="0" w:color="auto"/>
            <w:left w:val="none" w:sz="0" w:space="0" w:color="auto"/>
            <w:bottom w:val="none" w:sz="0" w:space="0" w:color="auto"/>
            <w:right w:val="none" w:sz="0" w:space="0" w:color="auto"/>
          </w:divBdr>
          <w:divsChild>
            <w:div w:id="1576473172">
              <w:marLeft w:val="0"/>
              <w:marRight w:val="0"/>
              <w:marTop w:val="0"/>
              <w:marBottom w:val="0"/>
              <w:divBdr>
                <w:top w:val="none" w:sz="0" w:space="0" w:color="auto"/>
                <w:left w:val="none" w:sz="0" w:space="0" w:color="auto"/>
                <w:bottom w:val="none" w:sz="0" w:space="0" w:color="auto"/>
                <w:right w:val="none" w:sz="0" w:space="0" w:color="auto"/>
              </w:divBdr>
            </w:div>
          </w:divsChild>
        </w:div>
        <w:div w:id="1800882512">
          <w:marLeft w:val="0"/>
          <w:marRight w:val="0"/>
          <w:marTop w:val="0"/>
          <w:marBottom w:val="0"/>
          <w:divBdr>
            <w:top w:val="none" w:sz="0" w:space="0" w:color="auto"/>
            <w:left w:val="none" w:sz="0" w:space="0" w:color="auto"/>
            <w:bottom w:val="none" w:sz="0" w:space="0" w:color="auto"/>
            <w:right w:val="none" w:sz="0" w:space="0" w:color="auto"/>
          </w:divBdr>
          <w:divsChild>
            <w:div w:id="1327241244">
              <w:marLeft w:val="0"/>
              <w:marRight w:val="0"/>
              <w:marTop w:val="0"/>
              <w:marBottom w:val="0"/>
              <w:divBdr>
                <w:top w:val="none" w:sz="0" w:space="0" w:color="auto"/>
                <w:left w:val="none" w:sz="0" w:space="0" w:color="auto"/>
                <w:bottom w:val="none" w:sz="0" w:space="0" w:color="auto"/>
                <w:right w:val="none" w:sz="0" w:space="0" w:color="auto"/>
              </w:divBdr>
            </w:div>
          </w:divsChild>
        </w:div>
        <w:div w:id="1910264758">
          <w:marLeft w:val="0"/>
          <w:marRight w:val="0"/>
          <w:marTop w:val="450"/>
          <w:marBottom w:val="0"/>
          <w:divBdr>
            <w:top w:val="none" w:sz="0" w:space="0" w:color="auto"/>
            <w:left w:val="none" w:sz="0" w:space="0" w:color="auto"/>
            <w:bottom w:val="none" w:sz="0" w:space="0" w:color="auto"/>
            <w:right w:val="none" w:sz="0" w:space="0" w:color="auto"/>
          </w:divBdr>
          <w:divsChild>
            <w:div w:id="310864839">
              <w:marLeft w:val="0"/>
              <w:marRight w:val="0"/>
              <w:marTop w:val="0"/>
              <w:marBottom w:val="0"/>
              <w:divBdr>
                <w:top w:val="none" w:sz="0" w:space="0" w:color="auto"/>
                <w:left w:val="none" w:sz="0" w:space="0" w:color="auto"/>
                <w:bottom w:val="none" w:sz="0" w:space="0" w:color="auto"/>
                <w:right w:val="none" w:sz="0" w:space="0" w:color="auto"/>
              </w:divBdr>
              <w:divsChild>
                <w:div w:id="1402484240">
                  <w:marLeft w:val="360"/>
                  <w:marRight w:val="0"/>
                  <w:marTop w:val="0"/>
                  <w:marBottom w:val="240"/>
                  <w:divBdr>
                    <w:top w:val="none" w:sz="0" w:space="0" w:color="auto"/>
                    <w:left w:val="none" w:sz="0" w:space="0" w:color="auto"/>
                    <w:bottom w:val="none" w:sz="0" w:space="0" w:color="auto"/>
                    <w:right w:val="none" w:sz="0" w:space="0" w:color="auto"/>
                  </w:divBdr>
                  <w:divsChild>
                    <w:div w:id="5198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media-server.com/mmc/p/fasubkb7" TargetMode="External"/><Relationship Id="rId13" Type="http://schemas.openxmlformats.org/officeDocument/2006/relationships/hyperlink" Target="https://www.globenewswire.com/NewsRoom/AttachmentNg/52833a02-3f1d-450e-9d07-bc3b6cca40ce" TargetMode="External"/><Relationship Id="rId3" Type="http://schemas.openxmlformats.org/officeDocument/2006/relationships/settings" Target="settings.xml"/><Relationship Id="rId7" Type="http://schemas.openxmlformats.org/officeDocument/2006/relationships/hyperlink" Target="https://register.vevent.com/register/BI2be277eaaa904858bc4ebde90c1fe1f9"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ntex.com/forecast-disclaimer" TargetMode="External"/><Relationship Id="rId11" Type="http://schemas.openxmlformats.org/officeDocument/2006/relationships/image" Target="media/image1.gif"/><Relationship Id="rId5" Type="http://schemas.openxmlformats.org/officeDocument/2006/relationships/hyperlink" Target="https://ir.gentex.com/node/16536/pdf" TargetMode="External"/><Relationship Id="rId15" Type="http://schemas.openxmlformats.org/officeDocument/2006/relationships/fontTable" Target="fontTable.xml"/><Relationship Id="rId10" Type="http://schemas.openxmlformats.org/officeDocument/2006/relationships/hyperlink" Target="http://www.gentex.com/" TargetMode="External"/><Relationship Id="rId4" Type="http://schemas.openxmlformats.org/officeDocument/2006/relationships/webSettings" Target="webSettings.xml"/><Relationship Id="rId9" Type="http://schemas.openxmlformats.org/officeDocument/2006/relationships/hyperlink" Target="http://ir.gentex.com/events-and-presentations/upcoming-past-event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3135</Words>
  <Characters>17872</Characters>
  <Application>Microsoft Office Word</Application>
  <DocSecurity>0</DocSecurity>
  <Lines>148</Lines>
  <Paragraphs>41</Paragraphs>
  <ScaleCrop>false</ScaleCrop>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Maskey Krishnarao</dc:creator>
  <cp:keywords/>
  <dc:description/>
  <cp:lastModifiedBy>Maskey Krishnarao</cp:lastModifiedBy>
  <cp:revision>2</cp:revision>
  <dcterms:created xsi:type="dcterms:W3CDTF">2024-01-30T21:31:00Z</dcterms:created>
  <dcterms:modified xsi:type="dcterms:W3CDTF">2024-01-31T01:13:00Z</dcterms:modified>
</cp:coreProperties>
</file>