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88" w:rsidRDefault="00336F27" w:rsidP="00336F27">
      <w:pPr>
        <w:spacing w:after="0" w:line="240" w:lineRule="auto"/>
        <w:jc w:val="center"/>
        <w:rPr>
          <w:sz w:val="24"/>
          <w:szCs w:val="24"/>
        </w:rPr>
      </w:pPr>
      <w:r>
        <w:rPr>
          <w:sz w:val="24"/>
          <w:szCs w:val="24"/>
        </w:rPr>
        <w:t>WHEN TO SELL A STOCK</w:t>
      </w:r>
    </w:p>
    <w:p w:rsidR="00060B4A" w:rsidRDefault="00060B4A" w:rsidP="00336F27">
      <w:pPr>
        <w:spacing w:after="0" w:line="240" w:lineRule="auto"/>
        <w:rPr>
          <w:sz w:val="24"/>
          <w:szCs w:val="24"/>
        </w:rPr>
      </w:pPr>
    </w:p>
    <w:p w:rsidR="00336F27" w:rsidRDefault="00336F27" w:rsidP="00336F27">
      <w:pPr>
        <w:spacing w:after="0" w:line="240" w:lineRule="auto"/>
        <w:rPr>
          <w:sz w:val="24"/>
          <w:szCs w:val="24"/>
        </w:rPr>
      </w:pPr>
      <w:r>
        <w:rPr>
          <w:sz w:val="24"/>
          <w:szCs w:val="24"/>
        </w:rPr>
        <w:t>General Philosophy: For any stock under consideration for selling, it is good practice to have a replacement stock in mind--from watch list possibly. Portfolio management means we should be challenging stocks in the portfolio for ones with better growth potential.</w:t>
      </w:r>
    </w:p>
    <w:p w:rsidR="00EB67F4" w:rsidRDefault="00EB67F4" w:rsidP="00336F27">
      <w:pPr>
        <w:spacing w:after="0" w:line="240" w:lineRule="auto"/>
        <w:rPr>
          <w:sz w:val="24"/>
          <w:szCs w:val="24"/>
        </w:rPr>
      </w:pPr>
    </w:p>
    <w:p w:rsidR="00336F27" w:rsidRDefault="00336F27" w:rsidP="00336F27">
      <w:pPr>
        <w:spacing w:after="0" w:line="240" w:lineRule="auto"/>
        <w:jc w:val="center"/>
        <w:rPr>
          <w:sz w:val="24"/>
          <w:szCs w:val="24"/>
        </w:rPr>
      </w:pPr>
      <w:r>
        <w:rPr>
          <w:sz w:val="24"/>
          <w:szCs w:val="24"/>
        </w:rPr>
        <w:t>CONSIDER SELLING WHEN....</w:t>
      </w:r>
    </w:p>
    <w:tbl>
      <w:tblPr>
        <w:tblStyle w:val="TableGrid"/>
        <w:tblW w:w="0" w:type="auto"/>
        <w:tblLook w:val="04A0"/>
      </w:tblPr>
      <w:tblGrid>
        <w:gridCol w:w="5508"/>
        <w:gridCol w:w="5508"/>
      </w:tblGrid>
      <w:tr w:rsidR="00336F27" w:rsidTr="00336F27">
        <w:tc>
          <w:tcPr>
            <w:tcW w:w="5508" w:type="dxa"/>
          </w:tcPr>
          <w:p w:rsidR="00336F27" w:rsidRDefault="00336F27" w:rsidP="00336F27">
            <w:pPr>
              <w:rPr>
                <w:sz w:val="24"/>
                <w:szCs w:val="24"/>
              </w:rPr>
            </w:pPr>
          </w:p>
        </w:tc>
        <w:tc>
          <w:tcPr>
            <w:tcW w:w="5508" w:type="dxa"/>
          </w:tcPr>
          <w:p w:rsidR="00336F27" w:rsidRDefault="00336F27" w:rsidP="00336F27">
            <w:pPr>
              <w:jc w:val="center"/>
              <w:rPr>
                <w:sz w:val="24"/>
                <w:szCs w:val="24"/>
              </w:rPr>
            </w:pPr>
            <w:r>
              <w:rPr>
                <w:sz w:val="24"/>
                <w:szCs w:val="24"/>
              </w:rPr>
              <w:t>Where to find the information</w:t>
            </w:r>
          </w:p>
        </w:tc>
      </w:tr>
      <w:tr w:rsidR="00336F27" w:rsidTr="00336F27">
        <w:tc>
          <w:tcPr>
            <w:tcW w:w="5508" w:type="dxa"/>
          </w:tcPr>
          <w:p w:rsidR="00336F27" w:rsidRDefault="00336F27" w:rsidP="00336F27">
            <w:pPr>
              <w:rPr>
                <w:sz w:val="24"/>
                <w:szCs w:val="24"/>
              </w:rPr>
            </w:pPr>
            <w:r>
              <w:rPr>
                <w:sz w:val="24"/>
                <w:szCs w:val="24"/>
              </w:rPr>
              <w:t>...pre-tax profit margins are declining, especially over past 3-5 years. Compare with industry standard.</w:t>
            </w:r>
          </w:p>
        </w:tc>
        <w:tc>
          <w:tcPr>
            <w:tcW w:w="5508" w:type="dxa"/>
          </w:tcPr>
          <w:p w:rsidR="00336F27" w:rsidRDefault="00336F27" w:rsidP="00336F27">
            <w:pPr>
              <w:rPr>
                <w:sz w:val="24"/>
                <w:szCs w:val="24"/>
              </w:rPr>
            </w:pPr>
            <w:r>
              <w:rPr>
                <w:sz w:val="24"/>
                <w:szCs w:val="24"/>
              </w:rPr>
              <w:t>Section 2A of the SSG</w:t>
            </w:r>
          </w:p>
        </w:tc>
      </w:tr>
      <w:tr w:rsidR="00336F27" w:rsidTr="00336F27">
        <w:tc>
          <w:tcPr>
            <w:tcW w:w="5508" w:type="dxa"/>
          </w:tcPr>
          <w:p w:rsidR="00336F27" w:rsidRDefault="00336F27" w:rsidP="00336F27">
            <w:pPr>
              <w:rPr>
                <w:sz w:val="24"/>
                <w:szCs w:val="24"/>
              </w:rPr>
            </w:pPr>
            <w:r>
              <w:rPr>
                <w:sz w:val="24"/>
                <w:szCs w:val="24"/>
              </w:rPr>
              <w:t>...return on equity is falling. The biggest winners historically show 17% of more before there are large gains in stock prices. A figure below 10% is a weak return.</w:t>
            </w:r>
          </w:p>
        </w:tc>
        <w:tc>
          <w:tcPr>
            <w:tcW w:w="5508" w:type="dxa"/>
          </w:tcPr>
          <w:p w:rsidR="00336F27" w:rsidRDefault="00336F27" w:rsidP="00336F27">
            <w:pPr>
              <w:rPr>
                <w:sz w:val="24"/>
                <w:szCs w:val="24"/>
              </w:rPr>
            </w:pPr>
            <w:r>
              <w:rPr>
                <w:sz w:val="24"/>
                <w:szCs w:val="24"/>
              </w:rPr>
              <w:t>Section 2B of the SSG</w:t>
            </w:r>
          </w:p>
        </w:tc>
      </w:tr>
      <w:tr w:rsidR="00336F27" w:rsidTr="00336F27">
        <w:tc>
          <w:tcPr>
            <w:tcW w:w="5508" w:type="dxa"/>
          </w:tcPr>
          <w:p w:rsidR="00336F27" w:rsidRDefault="00336F27" w:rsidP="00336F27">
            <w:pPr>
              <w:rPr>
                <w:sz w:val="24"/>
                <w:szCs w:val="24"/>
              </w:rPr>
            </w:pPr>
            <w:r>
              <w:rPr>
                <w:sz w:val="24"/>
                <w:szCs w:val="24"/>
              </w:rPr>
              <w:t>...the debt/equity ratio is increasing rather than decreasing. A higher level increases the risk. Compare with industry average.</w:t>
            </w:r>
          </w:p>
        </w:tc>
        <w:tc>
          <w:tcPr>
            <w:tcW w:w="5508" w:type="dxa"/>
          </w:tcPr>
          <w:p w:rsidR="00336F27" w:rsidRDefault="00336F27" w:rsidP="00336F27">
            <w:pPr>
              <w:rPr>
                <w:sz w:val="24"/>
                <w:szCs w:val="24"/>
              </w:rPr>
            </w:pPr>
            <w:r>
              <w:rPr>
                <w:sz w:val="24"/>
                <w:szCs w:val="24"/>
              </w:rPr>
              <w:t xml:space="preserve">Section 2, C on the SSG. </w:t>
            </w:r>
          </w:p>
        </w:tc>
      </w:tr>
      <w:tr w:rsidR="00336F27" w:rsidTr="00336F27">
        <w:tc>
          <w:tcPr>
            <w:tcW w:w="5508" w:type="dxa"/>
          </w:tcPr>
          <w:p w:rsidR="00336F27" w:rsidRDefault="00920F14" w:rsidP="00912349">
            <w:pPr>
              <w:rPr>
                <w:sz w:val="24"/>
                <w:szCs w:val="24"/>
              </w:rPr>
            </w:pPr>
            <w:r>
              <w:rPr>
                <w:sz w:val="24"/>
                <w:szCs w:val="24"/>
              </w:rPr>
              <w:t>...The stock is overpriced (</w:t>
            </w:r>
            <w:r w:rsidR="00912349">
              <w:rPr>
                <w:sz w:val="24"/>
                <w:szCs w:val="24"/>
              </w:rPr>
              <w:t>PEG ratio if over 150% a</w:t>
            </w:r>
            <w:r>
              <w:rPr>
                <w:sz w:val="24"/>
                <w:szCs w:val="24"/>
              </w:rPr>
              <w:t xml:space="preserve">nd the </w:t>
            </w:r>
            <w:r w:rsidR="00912349">
              <w:rPr>
                <w:sz w:val="24"/>
                <w:szCs w:val="24"/>
              </w:rPr>
              <w:t xml:space="preserve">growth of </w:t>
            </w:r>
            <w:r>
              <w:rPr>
                <w:sz w:val="24"/>
                <w:szCs w:val="24"/>
              </w:rPr>
              <w:t xml:space="preserve">earnings </w:t>
            </w:r>
            <w:r w:rsidR="00912349">
              <w:rPr>
                <w:sz w:val="24"/>
                <w:szCs w:val="24"/>
              </w:rPr>
              <w:t>is</w:t>
            </w:r>
            <w:r>
              <w:rPr>
                <w:sz w:val="24"/>
                <w:szCs w:val="24"/>
              </w:rPr>
              <w:t xml:space="preserve"> </w:t>
            </w:r>
            <w:r w:rsidR="00912349">
              <w:rPr>
                <w:sz w:val="24"/>
                <w:szCs w:val="24"/>
              </w:rPr>
              <w:t>slow</w:t>
            </w:r>
            <w:r>
              <w:rPr>
                <w:sz w:val="24"/>
                <w:szCs w:val="24"/>
              </w:rPr>
              <w:t xml:space="preserve">ing. </w:t>
            </w:r>
          </w:p>
        </w:tc>
        <w:tc>
          <w:tcPr>
            <w:tcW w:w="5508" w:type="dxa"/>
          </w:tcPr>
          <w:p w:rsidR="00336F27" w:rsidRDefault="00912349" w:rsidP="00336F27">
            <w:pPr>
              <w:rPr>
                <w:sz w:val="24"/>
                <w:szCs w:val="24"/>
              </w:rPr>
            </w:pPr>
            <w:r>
              <w:rPr>
                <w:sz w:val="24"/>
                <w:szCs w:val="24"/>
              </w:rPr>
              <w:t>Section 3, line 8</w:t>
            </w:r>
            <w:r w:rsidR="008401AE">
              <w:rPr>
                <w:sz w:val="24"/>
                <w:szCs w:val="24"/>
              </w:rPr>
              <w:t>; look at historical earnings on Value Line and compare with projections.</w:t>
            </w:r>
          </w:p>
        </w:tc>
      </w:tr>
      <w:tr w:rsidR="00336F27" w:rsidTr="00336F27">
        <w:tc>
          <w:tcPr>
            <w:tcW w:w="5508" w:type="dxa"/>
          </w:tcPr>
          <w:p w:rsidR="00336F27" w:rsidRDefault="008401AE" w:rsidP="00336F27">
            <w:pPr>
              <w:rPr>
                <w:sz w:val="24"/>
                <w:szCs w:val="24"/>
              </w:rPr>
            </w:pPr>
            <w:r>
              <w:rPr>
                <w:sz w:val="24"/>
                <w:szCs w:val="24"/>
              </w:rPr>
              <w:t>...cash flow is decreasing or even negative</w:t>
            </w:r>
          </w:p>
        </w:tc>
        <w:tc>
          <w:tcPr>
            <w:tcW w:w="5508" w:type="dxa"/>
          </w:tcPr>
          <w:p w:rsidR="00336F27" w:rsidRDefault="008401AE" w:rsidP="00336F27">
            <w:pPr>
              <w:rPr>
                <w:sz w:val="24"/>
                <w:szCs w:val="24"/>
              </w:rPr>
            </w:pPr>
            <w:r>
              <w:rPr>
                <w:sz w:val="24"/>
                <w:szCs w:val="24"/>
              </w:rPr>
              <w:t xml:space="preserve">See cash flow statement in financial report. </w:t>
            </w:r>
          </w:p>
        </w:tc>
      </w:tr>
      <w:tr w:rsidR="00336F27" w:rsidTr="00336F27">
        <w:tc>
          <w:tcPr>
            <w:tcW w:w="5508" w:type="dxa"/>
          </w:tcPr>
          <w:p w:rsidR="00336F27" w:rsidRDefault="008401AE" w:rsidP="00336F27">
            <w:pPr>
              <w:rPr>
                <w:sz w:val="24"/>
                <w:szCs w:val="24"/>
              </w:rPr>
            </w:pPr>
            <w:r>
              <w:rPr>
                <w:sz w:val="24"/>
                <w:szCs w:val="24"/>
              </w:rPr>
              <w:t>...the upside/downside ratio is 1:1 or lower. 3:1 is desirable</w:t>
            </w:r>
          </w:p>
        </w:tc>
        <w:tc>
          <w:tcPr>
            <w:tcW w:w="5508" w:type="dxa"/>
          </w:tcPr>
          <w:p w:rsidR="00336F27" w:rsidRDefault="008401AE" w:rsidP="00336F27">
            <w:pPr>
              <w:rPr>
                <w:sz w:val="24"/>
                <w:szCs w:val="24"/>
              </w:rPr>
            </w:pPr>
            <w:r>
              <w:rPr>
                <w:sz w:val="24"/>
                <w:szCs w:val="24"/>
              </w:rPr>
              <w:t>See Section 4D</w:t>
            </w:r>
          </w:p>
        </w:tc>
      </w:tr>
      <w:tr w:rsidR="00336F27" w:rsidTr="00336F27">
        <w:tc>
          <w:tcPr>
            <w:tcW w:w="5508" w:type="dxa"/>
          </w:tcPr>
          <w:p w:rsidR="00336F27" w:rsidRDefault="008401AE" w:rsidP="00336F27">
            <w:pPr>
              <w:rPr>
                <w:sz w:val="24"/>
                <w:szCs w:val="24"/>
              </w:rPr>
            </w:pPr>
            <w:r>
              <w:rPr>
                <w:sz w:val="24"/>
                <w:szCs w:val="24"/>
              </w:rPr>
              <w:t>...insider ownership drops. May not be significant with larger companies</w:t>
            </w:r>
          </w:p>
        </w:tc>
        <w:tc>
          <w:tcPr>
            <w:tcW w:w="5508" w:type="dxa"/>
          </w:tcPr>
          <w:p w:rsidR="00336F27" w:rsidRDefault="008401AE" w:rsidP="00336F27">
            <w:pPr>
              <w:rPr>
                <w:sz w:val="24"/>
                <w:szCs w:val="24"/>
              </w:rPr>
            </w:pPr>
            <w:r>
              <w:rPr>
                <w:sz w:val="24"/>
                <w:szCs w:val="24"/>
              </w:rPr>
              <w:t>See Value Line, Yahoo Finance, etc.</w:t>
            </w:r>
          </w:p>
        </w:tc>
      </w:tr>
      <w:tr w:rsidR="00060B4A" w:rsidTr="00336F27">
        <w:tc>
          <w:tcPr>
            <w:tcW w:w="5508" w:type="dxa"/>
          </w:tcPr>
          <w:p w:rsidR="00060B4A" w:rsidRDefault="00060B4A" w:rsidP="00336F27">
            <w:pPr>
              <w:rPr>
                <w:sz w:val="24"/>
                <w:szCs w:val="24"/>
              </w:rPr>
            </w:pPr>
            <w:r>
              <w:rPr>
                <w:sz w:val="24"/>
                <w:szCs w:val="24"/>
              </w:rPr>
              <w:t>...institutional ownership is dropping</w:t>
            </w:r>
          </w:p>
        </w:tc>
        <w:tc>
          <w:tcPr>
            <w:tcW w:w="5508" w:type="dxa"/>
          </w:tcPr>
          <w:p w:rsidR="00060B4A" w:rsidRDefault="00060B4A" w:rsidP="00336F27">
            <w:pPr>
              <w:rPr>
                <w:sz w:val="24"/>
                <w:szCs w:val="24"/>
              </w:rPr>
            </w:pPr>
            <w:r>
              <w:rPr>
                <w:sz w:val="24"/>
                <w:szCs w:val="24"/>
              </w:rPr>
              <w:t>See front page of SSG upper right corner</w:t>
            </w:r>
          </w:p>
        </w:tc>
      </w:tr>
      <w:tr w:rsidR="00336F27" w:rsidTr="00336F27">
        <w:tc>
          <w:tcPr>
            <w:tcW w:w="5508" w:type="dxa"/>
          </w:tcPr>
          <w:p w:rsidR="00336F27" w:rsidRDefault="00EB67F4" w:rsidP="00336F27">
            <w:pPr>
              <w:rPr>
                <w:sz w:val="24"/>
                <w:szCs w:val="24"/>
              </w:rPr>
            </w:pPr>
            <w:r>
              <w:rPr>
                <w:sz w:val="24"/>
                <w:szCs w:val="24"/>
              </w:rPr>
              <w:t>...there is a need to balance the portfolio. One stock should never dominate the holdings.</w:t>
            </w:r>
          </w:p>
        </w:tc>
        <w:tc>
          <w:tcPr>
            <w:tcW w:w="5508" w:type="dxa"/>
          </w:tcPr>
          <w:p w:rsidR="00336F27" w:rsidRDefault="00EB67F4" w:rsidP="00336F27">
            <w:pPr>
              <w:rPr>
                <w:sz w:val="24"/>
                <w:szCs w:val="24"/>
              </w:rPr>
            </w:pPr>
            <w:r>
              <w:rPr>
                <w:sz w:val="24"/>
                <w:szCs w:val="24"/>
              </w:rPr>
              <w:t>Check accounting statement</w:t>
            </w:r>
          </w:p>
        </w:tc>
      </w:tr>
      <w:tr w:rsidR="00EB67F4" w:rsidTr="00336F27">
        <w:tc>
          <w:tcPr>
            <w:tcW w:w="5508" w:type="dxa"/>
          </w:tcPr>
          <w:p w:rsidR="00EB67F4" w:rsidRDefault="00EB67F4" w:rsidP="00336F27">
            <w:pPr>
              <w:rPr>
                <w:sz w:val="24"/>
                <w:szCs w:val="24"/>
              </w:rPr>
            </w:pPr>
            <w:r>
              <w:rPr>
                <w:sz w:val="24"/>
                <w:szCs w:val="24"/>
              </w:rPr>
              <w:t>...the stock is in the sell zone on the SSG</w:t>
            </w:r>
          </w:p>
        </w:tc>
        <w:tc>
          <w:tcPr>
            <w:tcW w:w="5508" w:type="dxa"/>
          </w:tcPr>
          <w:p w:rsidR="00EB67F4" w:rsidRDefault="00EB67F4" w:rsidP="00336F27">
            <w:pPr>
              <w:rPr>
                <w:sz w:val="24"/>
                <w:szCs w:val="24"/>
              </w:rPr>
            </w:pPr>
            <w:r>
              <w:rPr>
                <w:sz w:val="24"/>
                <w:szCs w:val="24"/>
              </w:rPr>
              <w:t>See Section 4C. Check fundamentals and judgments</w:t>
            </w:r>
          </w:p>
        </w:tc>
      </w:tr>
      <w:tr w:rsidR="00EB67F4" w:rsidTr="00336F27">
        <w:tc>
          <w:tcPr>
            <w:tcW w:w="5508" w:type="dxa"/>
          </w:tcPr>
          <w:p w:rsidR="00EB67F4" w:rsidRDefault="00EB67F4" w:rsidP="00336F27">
            <w:pPr>
              <w:rPr>
                <w:sz w:val="24"/>
                <w:szCs w:val="24"/>
              </w:rPr>
            </w:pPr>
            <w:r>
              <w:rPr>
                <w:sz w:val="24"/>
                <w:szCs w:val="24"/>
              </w:rPr>
              <w:t xml:space="preserve">...the financial rating falls below B+ </w:t>
            </w:r>
          </w:p>
        </w:tc>
        <w:tc>
          <w:tcPr>
            <w:tcW w:w="5508" w:type="dxa"/>
          </w:tcPr>
          <w:p w:rsidR="00EB67F4" w:rsidRDefault="00EB67F4" w:rsidP="00336F27">
            <w:pPr>
              <w:rPr>
                <w:sz w:val="24"/>
                <w:szCs w:val="24"/>
              </w:rPr>
            </w:pPr>
            <w:r>
              <w:rPr>
                <w:sz w:val="24"/>
                <w:szCs w:val="24"/>
              </w:rPr>
              <w:t>See lower right corner of Value Line</w:t>
            </w:r>
          </w:p>
        </w:tc>
      </w:tr>
      <w:tr w:rsidR="007E71A5" w:rsidTr="00336F27">
        <w:tc>
          <w:tcPr>
            <w:tcW w:w="5508" w:type="dxa"/>
          </w:tcPr>
          <w:p w:rsidR="007E71A5" w:rsidRDefault="007E71A5" w:rsidP="00336F27">
            <w:pPr>
              <w:rPr>
                <w:sz w:val="24"/>
                <w:szCs w:val="24"/>
              </w:rPr>
            </w:pPr>
            <w:r>
              <w:rPr>
                <w:sz w:val="24"/>
                <w:szCs w:val="24"/>
              </w:rPr>
              <w:t>...the company seems to have lost some of its competitive advantage</w:t>
            </w:r>
          </w:p>
        </w:tc>
        <w:tc>
          <w:tcPr>
            <w:tcW w:w="5508" w:type="dxa"/>
          </w:tcPr>
          <w:p w:rsidR="007E71A5" w:rsidRDefault="007E71A5" w:rsidP="00336F27">
            <w:pPr>
              <w:rPr>
                <w:sz w:val="24"/>
                <w:szCs w:val="24"/>
              </w:rPr>
            </w:pPr>
            <w:r>
              <w:rPr>
                <w:sz w:val="24"/>
                <w:szCs w:val="24"/>
              </w:rPr>
              <w:t>Check market share, competitors, changes in the industry</w:t>
            </w:r>
          </w:p>
        </w:tc>
      </w:tr>
      <w:tr w:rsidR="00B73F31" w:rsidTr="00336F27">
        <w:tc>
          <w:tcPr>
            <w:tcW w:w="5508" w:type="dxa"/>
          </w:tcPr>
          <w:p w:rsidR="00B73F31" w:rsidRDefault="00B73F31" w:rsidP="00336F27">
            <w:pPr>
              <w:rPr>
                <w:sz w:val="24"/>
                <w:szCs w:val="24"/>
              </w:rPr>
            </w:pPr>
            <w:r>
              <w:rPr>
                <w:sz w:val="24"/>
                <w:szCs w:val="24"/>
              </w:rPr>
              <w:t>...the company's success is too dependent upon limited products that are losing favor with the public</w:t>
            </w:r>
          </w:p>
        </w:tc>
        <w:tc>
          <w:tcPr>
            <w:tcW w:w="5508" w:type="dxa"/>
          </w:tcPr>
          <w:p w:rsidR="00B73F31" w:rsidRDefault="00534491" w:rsidP="00534491">
            <w:pPr>
              <w:rPr>
                <w:sz w:val="24"/>
                <w:szCs w:val="24"/>
              </w:rPr>
            </w:pPr>
            <w:r>
              <w:rPr>
                <w:sz w:val="24"/>
                <w:szCs w:val="24"/>
              </w:rPr>
              <w:t>Check trend for sales of primary products/services</w:t>
            </w:r>
          </w:p>
        </w:tc>
      </w:tr>
      <w:tr w:rsidR="00B73F31" w:rsidTr="00336F27">
        <w:tc>
          <w:tcPr>
            <w:tcW w:w="5508" w:type="dxa"/>
          </w:tcPr>
          <w:p w:rsidR="00B73F31" w:rsidRDefault="00B73F31" w:rsidP="00336F27">
            <w:pPr>
              <w:rPr>
                <w:sz w:val="24"/>
                <w:szCs w:val="24"/>
              </w:rPr>
            </w:pPr>
            <w:r>
              <w:rPr>
                <w:sz w:val="24"/>
                <w:szCs w:val="24"/>
              </w:rPr>
              <w:t>...there is an adverse management change or legal challenges that seem legitimate.</w:t>
            </w:r>
          </w:p>
        </w:tc>
        <w:tc>
          <w:tcPr>
            <w:tcW w:w="5508" w:type="dxa"/>
          </w:tcPr>
          <w:p w:rsidR="00B73F31" w:rsidRDefault="00B73F31" w:rsidP="00336F27">
            <w:pPr>
              <w:rPr>
                <w:sz w:val="24"/>
                <w:szCs w:val="24"/>
              </w:rPr>
            </w:pPr>
            <w:r>
              <w:rPr>
                <w:sz w:val="24"/>
                <w:szCs w:val="24"/>
              </w:rPr>
              <w:t>Check company news</w:t>
            </w:r>
          </w:p>
        </w:tc>
      </w:tr>
      <w:tr w:rsidR="007E71A5" w:rsidTr="00336F27">
        <w:tc>
          <w:tcPr>
            <w:tcW w:w="5508" w:type="dxa"/>
          </w:tcPr>
          <w:p w:rsidR="007E71A5" w:rsidRDefault="007E71A5" w:rsidP="00336F27">
            <w:pPr>
              <w:rPr>
                <w:sz w:val="24"/>
                <w:szCs w:val="24"/>
              </w:rPr>
            </w:pPr>
            <w:r>
              <w:rPr>
                <w:sz w:val="24"/>
                <w:szCs w:val="24"/>
              </w:rPr>
              <w:t>...the company's industry may be headed for a slump</w:t>
            </w:r>
          </w:p>
        </w:tc>
        <w:tc>
          <w:tcPr>
            <w:tcW w:w="5508" w:type="dxa"/>
          </w:tcPr>
          <w:p w:rsidR="007E71A5" w:rsidRDefault="007E71A5" w:rsidP="007E71A5">
            <w:pPr>
              <w:rPr>
                <w:sz w:val="24"/>
                <w:szCs w:val="24"/>
              </w:rPr>
            </w:pPr>
            <w:r>
              <w:rPr>
                <w:sz w:val="24"/>
                <w:szCs w:val="24"/>
              </w:rPr>
              <w:t>Read about industry news; check company's 10-K or annual report</w:t>
            </w:r>
          </w:p>
        </w:tc>
      </w:tr>
    </w:tbl>
    <w:p w:rsidR="00336F27" w:rsidRDefault="00336F27" w:rsidP="00336F27">
      <w:pPr>
        <w:spacing w:after="0" w:line="240" w:lineRule="auto"/>
        <w:jc w:val="center"/>
        <w:rPr>
          <w:sz w:val="24"/>
          <w:szCs w:val="24"/>
        </w:rPr>
      </w:pPr>
    </w:p>
    <w:p w:rsidR="00EB67F4" w:rsidRDefault="00EB67F4" w:rsidP="00336F27">
      <w:pPr>
        <w:spacing w:after="0" w:line="240" w:lineRule="auto"/>
        <w:jc w:val="center"/>
        <w:rPr>
          <w:sz w:val="24"/>
          <w:szCs w:val="24"/>
        </w:rPr>
      </w:pPr>
      <w:r>
        <w:rPr>
          <w:sz w:val="24"/>
          <w:szCs w:val="24"/>
        </w:rPr>
        <w:t>DO NOT SELL...</w:t>
      </w:r>
    </w:p>
    <w:p w:rsidR="00EB67F4" w:rsidRDefault="00EB67F4" w:rsidP="00EB67F4">
      <w:pPr>
        <w:spacing w:after="0" w:line="240" w:lineRule="auto"/>
        <w:rPr>
          <w:sz w:val="24"/>
          <w:szCs w:val="24"/>
        </w:rPr>
      </w:pPr>
      <w:r>
        <w:rPr>
          <w:sz w:val="24"/>
          <w:szCs w:val="24"/>
        </w:rPr>
        <w:t xml:space="preserve">...because you want to lock in a profit. </w:t>
      </w:r>
    </w:p>
    <w:p w:rsidR="00EB67F4" w:rsidRDefault="00EB67F4" w:rsidP="00EB67F4">
      <w:pPr>
        <w:spacing w:after="0" w:line="240" w:lineRule="auto"/>
        <w:rPr>
          <w:sz w:val="24"/>
          <w:szCs w:val="24"/>
        </w:rPr>
      </w:pPr>
      <w:r>
        <w:rPr>
          <w:sz w:val="24"/>
          <w:szCs w:val="24"/>
        </w:rPr>
        <w:t>...because the stock price hasn't risen at the rate you wanted. Prices don't move in linear, consistent fashion. Remember that price growth follows profits, eventually. Look for the reason that the stock is languishing.</w:t>
      </w:r>
    </w:p>
    <w:p w:rsidR="00EB67F4" w:rsidRDefault="00EB67F4" w:rsidP="00EB67F4">
      <w:pPr>
        <w:spacing w:after="0" w:line="240" w:lineRule="auto"/>
        <w:rPr>
          <w:sz w:val="24"/>
          <w:szCs w:val="24"/>
        </w:rPr>
      </w:pPr>
      <w:r>
        <w:rPr>
          <w:sz w:val="24"/>
          <w:szCs w:val="24"/>
        </w:rPr>
        <w:t>...because the company has missed earnings estimates by a small amount. Focus on long-term, not short-term results. Re-evaluate to determine if there is a fundamental shift underway at the company.</w:t>
      </w:r>
    </w:p>
    <w:p w:rsidR="00EB67F4" w:rsidRDefault="00EB67F4" w:rsidP="00EB67F4">
      <w:pPr>
        <w:spacing w:after="0" w:line="240" w:lineRule="auto"/>
        <w:rPr>
          <w:sz w:val="24"/>
          <w:szCs w:val="24"/>
        </w:rPr>
      </w:pPr>
      <w:r>
        <w:rPr>
          <w:sz w:val="24"/>
          <w:szCs w:val="24"/>
        </w:rPr>
        <w:t>...because the analysts have downgraded the stock. Analysts have short-</w:t>
      </w:r>
      <w:r w:rsidR="007E71A5">
        <w:rPr>
          <w:sz w:val="24"/>
          <w:szCs w:val="24"/>
        </w:rPr>
        <w:t>term, not long-term potential.</w:t>
      </w:r>
    </w:p>
    <w:p w:rsidR="00AF21AB" w:rsidRPr="00336F27" w:rsidRDefault="00AF21AB" w:rsidP="00EB67F4">
      <w:pPr>
        <w:spacing w:after="0" w:line="240" w:lineRule="auto"/>
        <w:rPr>
          <w:sz w:val="24"/>
          <w:szCs w:val="24"/>
        </w:rPr>
      </w:pPr>
      <w:r>
        <w:rPr>
          <w:sz w:val="24"/>
          <w:szCs w:val="24"/>
        </w:rPr>
        <w:t>...because there is a general market sell-off. It is too late. If your company's fundamentals are still sound, the price will come back.</w:t>
      </w:r>
    </w:p>
    <w:sectPr w:rsidR="00AF21AB" w:rsidRPr="00336F27" w:rsidSect="00336F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336F27"/>
    <w:rsid w:val="00060B4A"/>
    <w:rsid w:val="00336F27"/>
    <w:rsid w:val="00534491"/>
    <w:rsid w:val="007E71A5"/>
    <w:rsid w:val="008401AE"/>
    <w:rsid w:val="00912349"/>
    <w:rsid w:val="00920F14"/>
    <w:rsid w:val="00AF21AB"/>
    <w:rsid w:val="00B14888"/>
    <w:rsid w:val="00B73F31"/>
    <w:rsid w:val="00EB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Hathaway</dc:creator>
  <cp:lastModifiedBy>Linda Hathaway</cp:lastModifiedBy>
  <cp:revision>7</cp:revision>
  <dcterms:created xsi:type="dcterms:W3CDTF">2014-12-17T20:54:00Z</dcterms:created>
  <dcterms:modified xsi:type="dcterms:W3CDTF">2014-12-17T21:46:00Z</dcterms:modified>
</cp:coreProperties>
</file>