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FB872B5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7BE4748F" w:rsidR="00261DF2" w:rsidRDefault="00261DF2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E164D0">
        <w:rPr>
          <w:rFonts w:asciiTheme="minorHAnsi" w:hAnsiTheme="minorHAnsi" w:cstheme="minorHAnsi"/>
          <w:b/>
          <w:u w:val="single"/>
        </w:rPr>
        <w:t>August 18</w:t>
      </w:r>
      <w:r w:rsidR="00A37A91" w:rsidRPr="00343784">
        <w:rPr>
          <w:rFonts w:asciiTheme="minorHAnsi" w:hAnsiTheme="minorHAnsi" w:cstheme="minorHAnsi"/>
          <w:b/>
          <w:u w:val="single"/>
        </w:rPr>
        <w:t>, 2020</w:t>
      </w:r>
      <w:r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Pr="00343784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A86C96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E05CC33" w14:textId="160CCEB3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 xml:space="preserve">Baskar </w:t>
      </w:r>
      <w:proofErr w:type="spellStart"/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Arumugam</w:t>
      </w:r>
      <w:proofErr w:type="spellEnd"/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E5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C72625" w:rsidRPr="00154E4C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7F0836" w:rsidRPr="00154E4C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Pat Onufrak, </w:t>
      </w:r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Ty Hughes, Kent </w:t>
      </w:r>
      <w:proofErr w:type="spellStart"/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>Billmyer</w:t>
      </w:r>
      <w:proofErr w:type="spellEnd"/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>Paul O’Mara</w:t>
      </w:r>
      <w:r w:rsidR="00977644">
        <w:rPr>
          <w:rFonts w:asciiTheme="minorHAnsi" w:hAnsiTheme="minorHAnsi" w:cstheme="minorHAnsi"/>
          <w:color w:val="000000"/>
          <w:sz w:val="22"/>
          <w:szCs w:val="22"/>
        </w:rPr>
        <w:t>, Kathy Emmons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 xml:space="preserve">Jonathan </w:t>
      </w:r>
      <w:proofErr w:type="spellStart"/>
      <w:r w:rsidR="005E5F70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5E5F70">
        <w:rPr>
          <w:rFonts w:asciiTheme="minorHAnsi" w:hAnsiTheme="minorHAnsi" w:cstheme="minorHAnsi"/>
          <w:color w:val="000000"/>
          <w:sz w:val="22"/>
          <w:szCs w:val="22"/>
        </w:rPr>
        <w:t>, Amy Laing.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35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5C308" w14:textId="4E1B30AF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 xml:space="preserve">Wilbert Nixon, Maskey </w:t>
      </w:r>
      <w:r w:rsidR="005E5F70">
        <w:rPr>
          <w:rFonts w:ascii="Verdana" w:hAnsi="Verdana"/>
          <w:color w:val="000000"/>
          <w:sz w:val="19"/>
          <w:szCs w:val="19"/>
          <w:shd w:val="clear" w:color="auto" w:fill="FFFFFF"/>
        </w:rPr>
        <w:t>Krishnarao</w:t>
      </w:r>
    </w:p>
    <w:p w14:paraId="0B380E3C" w14:textId="0ADC63A7" w:rsidR="00D96F6D" w:rsidRPr="00154E4C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sz w:val="22"/>
          <w:szCs w:val="22"/>
        </w:rPr>
        <w:tab/>
      </w:r>
      <w:r w:rsidR="005E5F70">
        <w:rPr>
          <w:rFonts w:asciiTheme="minorHAnsi" w:hAnsiTheme="minorHAnsi" w:cstheme="minorHAnsi"/>
          <w:sz w:val="22"/>
          <w:szCs w:val="22"/>
        </w:rPr>
        <w:t>Sheryl Patterson for Wilbert, Paul O’Mara for Maskey</w:t>
      </w:r>
    </w:p>
    <w:p w14:paraId="7F613E1C" w14:textId="7AF19D41" w:rsidR="003738FF" w:rsidRDefault="00EB06F5" w:rsidP="003738FF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&amp; other) </w:t>
      </w:r>
      <w:r w:rsidR="00D96F6D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Visitors Present: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F70">
        <w:rPr>
          <w:rFonts w:ascii="Arial" w:hAnsi="Arial" w:cs="Arial"/>
          <w:color w:val="000000"/>
          <w:sz w:val="20"/>
          <w:szCs w:val="20"/>
        </w:rPr>
        <w:t xml:space="preserve">Sandra Caster, 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Fred Beckman, Yao </w:t>
      </w:r>
      <w:proofErr w:type="spellStart"/>
      <w:r w:rsidR="003738FF">
        <w:rPr>
          <w:rFonts w:ascii="Arial" w:hAnsi="Arial" w:cs="Arial"/>
          <w:color w:val="000000"/>
          <w:sz w:val="20"/>
          <w:szCs w:val="20"/>
        </w:rPr>
        <w:t>Ntifafa</w:t>
      </w:r>
      <w:proofErr w:type="spellEnd"/>
      <w:r w:rsidR="00607B29">
        <w:rPr>
          <w:rFonts w:ascii="Arial" w:hAnsi="Arial" w:cs="Arial"/>
          <w:color w:val="000000"/>
          <w:sz w:val="20"/>
          <w:szCs w:val="20"/>
        </w:rPr>
        <w:t>,</w:t>
      </w:r>
      <w:r w:rsidR="005E5F70">
        <w:rPr>
          <w:rFonts w:ascii="Arial" w:hAnsi="Arial" w:cs="Arial"/>
          <w:color w:val="000000"/>
          <w:sz w:val="20"/>
          <w:szCs w:val="20"/>
        </w:rPr>
        <w:t xml:space="preserve"> Cathy </w:t>
      </w:r>
      <w:proofErr w:type="spellStart"/>
      <w:r w:rsidR="005E5F70">
        <w:rPr>
          <w:rFonts w:ascii="Arial" w:hAnsi="Arial" w:cs="Arial"/>
          <w:color w:val="000000"/>
          <w:sz w:val="20"/>
          <w:szCs w:val="20"/>
        </w:rPr>
        <w:t>Duthie</w:t>
      </w:r>
      <w:proofErr w:type="spellEnd"/>
      <w:r w:rsidR="005E5F70">
        <w:rPr>
          <w:rFonts w:ascii="Arial" w:hAnsi="Arial" w:cs="Arial"/>
          <w:color w:val="000000"/>
          <w:sz w:val="20"/>
          <w:szCs w:val="20"/>
        </w:rPr>
        <w:t>,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F70">
        <w:rPr>
          <w:rFonts w:ascii="Arial" w:hAnsi="Arial" w:cs="Arial"/>
          <w:color w:val="000000"/>
          <w:sz w:val="20"/>
          <w:szCs w:val="20"/>
        </w:rPr>
        <w:t xml:space="preserve">Anne Bradley, </w:t>
      </w:r>
      <w:r w:rsidR="0000066E">
        <w:rPr>
          <w:rFonts w:ascii="Arial" w:hAnsi="Arial" w:cs="Arial"/>
          <w:color w:val="000000"/>
          <w:sz w:val="20"/>
          <w:szCs w:val="20"/>
        </w:rPr>
        <w:t>Lucinda Brunso</w:t>
      </w:r>
      <w:r w:rsidR="005E5F70">
        <w:rPr>
          <w:rFonts w:ascii="Arial" w:hAnsi="Arial" w:cs="Arial"/>
          <w:color w:val="000000"/>
          <w:sz w:val="20"/>
          <w:szCs w:val="20"/>
        </w:rPr>
        <w:t>n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E5F70">
        <w:rPr>
          <w:rFonts w:ascii="Arial" w:hAnsi="Arial" w:cs="Arial"/>
          <w:color w:val="000000"/>
          <w:sz w:val="20"/>
          <w:szCs w:val="20"/>
        </w:rPr>
        <w:t>Atul</w:t>
      </w:r>
      <w:proofErr w:type="spellEnd"/>
      <w:r w:rsidR="003738FF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FA8F605" w14:textId="77777777" w:rsidR="00623E88" w:rsidRDefault="00623E88" w:rsidP="00C30827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32563" w14:textId="5D5C5A35" w:rsidR="00350AC7" w:rsidRDefault="00350AC7" w:rsidP="00350AC7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Baskar, 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>incoming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MicNova President,</w:t>
      </w:r>
      <w:r w:rsidR="00373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154E4C">
        <w:rPr>
          <w:rFonts w:asciiTheme="minorHAnsi" w:hAnsiTheme="minorHAnsi" w:cstheme="minorHAnsi"/>
          <w:sz w:val="22"/>
          <w:szCs w:val="22"/>
        </w:rPr>
        <w:t>w</w:t>
      </w:r>
      <w:r w:rsidR="003A737D" w:rsidRPr="00154E4C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154E4C">
        <w:rPr>
          <w:rFonts w:asciiTheme="minorHAnsi" w:hAnsiTheme="minorHAnsi" w:cstheme="minorHAnsi"/>
          <w:sz w:val="22"/>
          <w:szCs w:val="22"/>
        </w:rPr>
        <w:t>and</w:t>
      </w:r>
      <w:r w:rsidR="003B057E" w:rsidRPr="00154E4C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154E4C">
        <w:rPr>
          <w:rFonts w:asciiTheme="minorHAnsi" w:hAnsiTheme="minorHAnsi" w:cstheme="minorHAnsi"/>
          <w:sz w:val="22"/>
          <w:szCs w:val="22"/>
        </w:rPr>
        <w:t>explained the club’s purpose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3A737D" w:rsidRPr="0015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reviewed announcements of upcoming events listed on the Agenda,</w:t>
      </w:r>
      <w:r w:rsidR="00AB3377" w:rsidRPr="00154E4C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154E4C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07FEC366" w14:textId="4BADFF38" w:rsidR="00C25F17" w:rsidRPr="00154E4C" w:rsidRDefault="001F6F3F" w:rsidP="00C25F17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Upcoming Events</w:t>
      </w:r>
      <w:r w:rsidR="00607B29">
        <w:rPr>
          <w:rFonts w:asciiTheme="minorHAnsi" w:hAnsiTheme="minorHAnsi" w:cstheme="minorHAnsi"/>
          <w:b/>
          <w:color w:val="000000"/>
          <w:sz w:val="22"/>
          <w:szCs w:val="22"/>
        </w:rPr>
        <w:t>- Near Term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350AC7" w:rsidRPr="007364C5">
        <w:rPr>
          <w:rFonts w:asciiTheme="minorHAnsi" w:hAnsiTheme="minorHAnsi" w:cstheme="minorHAnsi"/>
          <w:color w:val="000000"/>
          <w:sz w:val="22"/>
          <w:szCs w:val="22"/>
        </w:rPr>
        <w:t>Tues, Aug 25, 8:30 Manifest Investing Roundtable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 xml:space="preserve">; Fri, Sept 4, 8-9p,  </w:t>
      </w:r>
      <w:r w:rsidR="00350AC7" w:rsidRPr="007364C5">
        <w:rPr>
          <w:rFonts w:asciiTheme="minorHAnsi" w:hAnsiTheme="minorHAnsi" w:cstheme="minorHAnsi"/>
          <w:color w:val="000000"/>
          <w:sz w:val="22"/>
          <w:szCs w:val="22"/>
        </w:rPr>
        <w:t xml:space="preserve"> DC Chapter Meeting online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50AC7" w:rsidRPr="007364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64C5">
        <w:rPr>
          <w:rFonts w:asciiTheme="minorHAnsi" w:hAnsiTheme="minorHAnsi" w:cstheme="minorHAnsi"/>
          <w:color w:val="000000"/>
          <w:sz w:val="22"/>
          <w:szCs w:val="22"/>
        </w:rPr>
        <w:t xml:space="preserve"> To join the Chapter meeting go to </w:t>
      </w:r>
      <w:r w:rsidR="00350AC7" w:rsidRPr="007364C5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8" w:tgtFrame="_blank" w:history="1">
        <w:r w:rsidR="007364C5">
          <w:rPr>
            <w:rStyle w:val="Hyperlink"/>
            <w:rFonts w:ascii="Calibri" w:hAnsi="Calibri" w:cs="Calibri"/>
            <w:shd w:val="clear" w:color="auto" w:fill="FFFFFF"/>
          </w:rPr>
          <w:t>https://global.gotomeeting.com/join/654059957</w:t>
        </w:r>
      </w:hyperlink>
    </w:p>
    <w:p w14:paraId="435AF0AA" w14:textId="40D08C66" w:rsidR="00343784" w:rsidRPr="00154E4C" w:rsidRDefault="000B2BDB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="00786F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>Ju</w:t>
      </w:r>
      <w:r w:rsidR="00786F4B"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="001F6F3F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minutes 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3A4F2C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pos</w:t>
      </w:r>
      <w:r w:rsidR="001F6F3F" w:rsidRPr="00154E4C">
        <w:rPr>
          <w:rFonts w:asciiTheme="minorHAnsi" w:hAnsiTheme="minorHAnsi" w:cstheme="minorHAnsi"/>
          <w:color w:val="000000"/>
          <w:sz w:val="22"/>
          <w:szCs w:val="22"/>
        </w:rPr>
        <w:t>ted in Bivio folder</w:t>
      </w:r>
      <w:r w:rsidR="00050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7B29">
        <w:rPr>
          <w:rFonts w:asciiTheme="minorHAnsi" w:hAnsiTheme="minorHAnsi" w:cstheme="minorHAnsi"/>
          <w:color w:val="000000"/>
          <w:sz w:val="22"/>
          <w:szCs w:val="22"/>
        </w:rPr>
        <w:t xml:space="preserve">(Public/Minutes/2020) </w:t>
      </w:r>
      <w:r w:rsidR="00050E32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1F6F3F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approved </w:t>
      </w:r>
      <w:proofErr w:type="gramStart"/>
      <w:r w:rsidR="00013FB6" w:rsidRPr="00154E4C">
        <w:rPr>
          <w:rFonts w:asciiTheme="minorHAnsi" w:hAnsiTheme="minorHAnsi" w:cstheme="minorHAnsi"/>
          <w:color w:val="000000"/>
          <w:sz w:val="22"/>
          <w:szCs w:val="22"/>
        </w:rPr>
        <w:t>unanimously</w:t>
      </w:r>
      <w:proofErr w:type="gramEnd"/>
      <w:r w:rsidR="00013FB6" w:rsidRPr="00154E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26364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1540E20" w14:textId="6E5CE214" w:rsidR="001F6F3F" w:rsidRPr="00154E4C" w:rsidRDefault="001F6F3F" w:rsidP="001F6F3F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Treasurer’s Report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F17" w:rsidRPr="00154E4C">
        <w:rPr>
          <w:rFonts w:asciiTheme="minorHAnsi" w:hAnsiTheme="minorHAnsi" w:cstheme="minorHAnsi"/>
          <w:color w:val="000000"/>
          <w:sz w:val="22"/>
          <w:szCs w:val="22"/>
        </w:rPr>
        <w:t>–Kent provided Treasurer’s report, approved unanimously.</w:t>
      </w:r>
    </w:p>
    <w:p w14:paraId="474ACC16" w14:textId="70A1F833" w:rsidR="00056426" w:rsidRPr="00786F4B" w:rsidRDefault="00890B8C" w:rsidP="00FE0FB1">
      <w:pPr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 </w:t>
      </w:r>
      <w:r w:rsidR="00786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</w:t>
      </w:r>
      <w:r w:rsidR="00786F4B" w:rsidRPr="00786F4B">
        <w:rPr>
          <w:rFonts w:asciiTheme="minorHAnsi" w:hAnsiTheme="minorHAnsi" w:cstheme="minorHAnsi"/>
          <w:color w:val="000000" w:themeColor="text1"/>
          <w:sz w:val="22"/>
          <w:szCs w:val="22"/>
        </w:rPr>
        <w:t>Kent announced that a payout check for withdrawing partner, Eric Kephart, was in process at TD Ameritrade.</w:t>
      </w:r>
    </w:p>
    <w:p w14:paraId="340E1486" w14:textId="090EEC10" w:rsidR="00665D20" w:rsidRPr="00154E4C" w:rsidRDefault="00665D20" w:rsidP="00FE0FB1">
      <w:pPr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New Business:</w:t>
      </w:r>
    </w:p>
    <w:p w14:paraId="19EFE8BB" w14:textId="1FAC437E" w:rsidR="007963CD" w:rsidRPr="009608CC" w:rsidRDefault="00786F4B" w:rsidP="002752AD">
      <w:pPr>
        <w:numPr>
          <w:ilvl w:val="1"/>
          <w:numId w:val="27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608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The Table of Member Assignments </w:t>
      </w:r>
      <w:r w:rsidR="009608CC" w:rsidRPr="009608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has been</w:t>
      </w:r>
      <w:r w:rsidRPr="009608C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updated, see below. </w:t>
      </w:r>
      <w:r w:rsidRPr="009608C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If dates of assignment are in conflict with the member’s schedule, they may contact Gladys Henrikson to make changes before the September meeting. Thereafter, members may swap dates among themselves. </w:t>
      </w:r>
    </w:p>
    <w:p w14:paraId="1F78965D" w14:textId="5B1BE03F" w:rsidR="00FA1679" w:rsidRPr="005D3340" w:rsidRDefault="00FA1679" w:rsidP="00F46CBC">
      <w:pPr>
        <w:numPr>
          <w:ilvl w:val="0"/>
          <w:numId w:val="27"/>
        </w:num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960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Stock Watcher Reports for </w:t>
      </w:r>
      <w:r w:rsidR="00786F4B" w:rsidRPr="009608CC">
        <w:rPr>
          <w:rFonts w:asciiTheme="minorHAnsi" w:hAnsiTheme="minorHAnsi" w:cstheme="minorHAnsi"/>
          <w:b/>
          <w:color w:val="000000"/>
          <w:sz w:val="22"/>
          <w:szCs w:val="22"/>
        </w:rPr>
        <w:t>August</w:t>
      </w:r>
      <w:r w:rsidRPr="00960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</w:t>
      </w:r>
      <w:r w:rsidR="005D3340" w:rsidRPr="009608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5D3340" w:rsidRPr="009608CC">
        <w:rPr>
          <w:rFonts w:asciiTheme="minorHAnsi" w:hAnsiTheme="minorHAnsi" w:cstheme="minorHAnsi"/>
          <w:i/>
          <w:color w:val="000000"/>
          <w:sz w:val="22"/>
          <w:szCs w:val="22"/>
        </w:rPr>
        <w:t>Note: current stock watcher reports are filed under Portfolio in</w:t>
      </w:r>
      <w:r w:rsidR="005D3340" w:rsidRPr="005D334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Bivio)</w:t>
      </w:r>
      <w:r w:rsidRPr="005D334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: </w:t>
      </w:r>
    </w:p>
    <w:tbl>
      <w:tblPr>
        <w:tblW w:w="11443" w:type="dxa"/>
        <w:tblLook w:val="04A0" w:firstRow="1" w:lastRow="0" w:firstColumn="1" w:lastColumn="0" w:noHBand="0" w:noVBand="1"/>
      </w:tblPr>
      <w:tblGrid>
        <w:gridCol w:w="765"/>
        <w:gridCol w:w="857"/>
        <w:gridCol w:w="724"/>
        <w:gridCol w:w="1039"/>
        <w:gridCol w:w="740"/>
        <w:gridCol w:w="857"/>
        <w:gridCol w:w="40"/>
        <w:gridCol w:w="881"/>
        <w:gridCol w:w="53"/>
        <w:gridCol w:w="195"/>
        <w:gridCol w:w="983"/>
        <w:gridCol w:w="97"/>
        <w:gridCol w:w="857"/>
        <w:gridCol w:w="354"/>
        <w:gridCol w:w="330"/>
        <w:gridCol w:w="705"/>
        <w:gridCol w:w="983"/>
        <w:gridCol w:w="983"/>
      </w:tblGrid>
      <w:tr w:rsidR="00234424" w:rsidRPr="00FA1679" w14:paraId="3ED99B3B" w14:textId="66786DE1" w:rsidTr="00234424">
        <w:trPr>
          <w:gridAfter w:val="3"/>
          <w:wAfter w:w="2903" w:type="dxa"/>
          <w:trHeight w:val="28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26E" w14:textId="77777777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B2DA" w14:textId="5CC35A7F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FF9" w14:textId="4643DD61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FD39" w14:textId="55F15DEE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4707" w14:textId="76628472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B0C9" w14:textId="3C7FFDDA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C2515" w14:textId="77777777" w:rsidR="00234424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2D93" w14:textId="2E3BD2A1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3C44" w14:textId="10A1FE13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Stock Watcher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CAB4" w14:textId="319CCAD0" w:rsidR="00234424" w:rsidRPr="00FA1679" w:rsidRDefault="00234424" w:rsidP="002344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A167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</w:tr>
      <w:tr w:rsidR="00234424" w:rsidRPr="00F46CBC" w14:paraId="1317F601" w14:textId="6CE63899" w:rsidTr="00234424">
        <w:trPr>
          <w:gridAfter w:val="3"/>
          <w:wAfter w:w="2903" w:type="dxa"/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FC9A" w14:textId="0299A40B" w:rsidR="00234424" w:rsidRPr="00D02777" w:rsidRDefault="00234424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45C" w14:textId="63FC3B3E" w:rsidR="00234424" w:rsidRPr="00F46CBC" w:rsidRDefault="00234424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Kathy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38F" w14:textId="3D00B186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CBC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/Trim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DDB2" w14:textId="7914746A" w:rsidR="00234424" w:rsidRPr="00D02777" w:rsidRDefault="00234424" w:rsidP="00234424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ANCUF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C0E4" w14:textId="7347587C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Pat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D2C0" w14:textId="382A7FA2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6CBC"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1BA6B" w14:textId="77777777" w:rsidR="00234424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4449" w14:textId="30FB1847" w:rsidR="00234424" w:rsidRPr="00D02777" w:rsidRDefault="00234424" w:rsidP="0023442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BKNG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845B" w14:textId="09219C2C" w:rsidR="00234424" w:rsidRPr="00F46CBC" w:rsidRDefault="00234424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D02777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056C0" w14:textId="541718E1" w:rsidR="00234424" w:rsidRPr="00F46CBC" w:rsidRDefault="005A4C47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SELL</w:t>
            </w:r>
          </w:p>
        </w:tc>
      </w:tr>
      <w:tr w:rsidR="00234424" w:rsidRPr="00F46CBC" w14:paraId="2D38B0E2" w14:textId="0D1CC65D" w:rsidTr="00234424">
        <w:trPr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342C" w14:textId="74A3A04E" w:rsidR="00234424" w:rsidRPr="00D02777" w:rsidRDefault="00234424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GOOGL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4E8D" w14:textId="4449BCE8" w:rsidR="00234424" w:rsidRPr="00F46CBC" w:rsidRDefault="00234424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Ty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D5C" w14:textId="5C90453A" w:rsidR="00234424" w:rsidRPr="00F46CBC" w:rsidRDefault="00234424" w:rsidP="005A4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B</w:t>
            </w:r>
            <w:r w:rsidR="005A4C47">
              <w:rPr>
                <w:rFonts w:ascii="Calibri" w:hAnsi="Calibri" w:cs="Calibri"/>
                <w:color w:val="000000"/>
                <w:sz w:val="18"/>
                <w:szCs w:val="18"/>
              </w:rPr>
              <w:t>UY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/H</w:t>
            </w:r>
            <w:r w:rsidR="005A4C47">
              <w:rPr>
                <w:rFonts w:ascii="Calibri" w:hAnsi="Calibri" w:cs="Calibri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D986" w14:textId="3E747310" w:rsidR="00234424" w:rsidRPr="00F46CBC" w:rsidRDefault="00234424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CSGP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Baskar     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7127B" w14:textId="146EFAE4" w:rsidR="00234424" w:rsidRPr="00F46CBC" w:rsidRDefault="00234424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Challenge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DAD3" w14:textId="009BBAA6" w:rsidR="00234424" w:rsidRPr="00D02777" w:rsidRDefault="00234424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Pr="00D0277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MSFT             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8EEA" w14:textId="38E1D9E1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A39F" w14:textId="1FB32086" w:rsidR="00D02777" w:rsidRPr="00F46CBC" w:rsidRDefault="00234424" w:rsidP="005A4C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="005A4C47">
              <w:rPr>
                <w:rFonts w:ascii="Calibri" w:hAnsi="Calibri" w:cs="Calibri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C954" w14:textId="1E788D11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DE768B1" w14:textId="77777777" w:rsidR="00234424" w:rsidRPr="00F46CBC" w:rsidRDefault="00234424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02777" w:rsidRPr="00F46CBC" w14:paraId="0745CA57" w14:textId="77777777" w:rsidTr="00234424">
        <w:trPr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607C" w14:textId="1B701831" w:rsidR="00D02777" w:rsidRPr="00D02777" w:rsidRDefault="00D02777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NVEE          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7326" w14:textId="365CC633" w:rsidR="00D02777" w:rsidRDefault="00D02777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Paul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6D9E" w14:textId="0F581067" w:rsidR="00D02777" w:rsidRDefault="005A4C47" w:rsidP="005A4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HOLD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2722" w14:textId="15224D2D" w:rsidR="00D02777" w:rsidRPr="00D02777" w:rsidRDefault="005A4C47" w:rsidP="002344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Visa                  Jo              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809EF" w14:textId="5FF77E3A" w:rsidR="00D02777" w:rsidRDefault="005A4C47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HOLD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F3B6" w14:textId="77777777" w:rsidR="00D02777" w:rsidRDefault="00D02777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5773" w14:textId="77777777" w:rsidR="00D02777" w:rsidRPr="00F46CBC" w:rsidRDefault="00D02777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9173" w14:textId="77777777" w:rsidR="00D02777" w:rsidRDefault="00D02777" w:rsidP="002344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A4DF" w14:textId="77777777" w:rsidR="00D02777" w:rsidRPr="00F46CBC" w:rsidRDefault="00D02777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C83CC6A" w14:textId="77777777" w:rsidR="00D02777" w:rsidRPr="00F46CBC" w:rsidRDefault="00D02777" w:rsidP="002344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A91C803" w14:textId="77777777" w:rsidR="00FA1679" w:rsidRPr="00154E4C" w:rsidRDefault="00FA1679" w:rsidP="00FA1679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3A4FA3" w14:textId="7F3F57DC" w:rsidR="009C640F" w:rsidRPr="00E24003" w:rsidRDefault="00E24003" w:rsidP="00E24003">
      <w:pPr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240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New Stock Presentation: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240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LGI Homes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24003">
        <w:rPr>
          <w:rFonts w:asciiTheme="minorHAnsi" w:hAnsiTheme="minorHAnsi" w:cstheme="minorHAnsi"/>
          <w:b/>
          <w:color w:val="000000"/>
          <w:sz w:val="22"/>
          <w:szCs w:val="22"/>
        </w:rPr>
        <w:t>by Paul O’Mara</w:t>
      </w:r>
    </w:p>
    <w:p w14:paraId="6D0F8DF2" w14:textId="7CA2DA36" w:rsidR="00E24003" w:rsidRPr="004B3B48" w:rsidRDefault="00E24003" w:rsidP="00E24003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Paul </w:t>
      </w:r>
      <w:r w:rsidRPr="003C3419">
        <w:rPr>
          <w:rFonts w:asciiTheme="minorHAnsi" w:hAnsiTheme="minorHAnsi" w:cstheme="minorHAnsi"/>
          <w:sz w:val="22"/>
          <w:szCs w:val="22"/>
        </w:rPr>
        <w:t xml:space="preserve">made a </w:t>
      </w:r>
      <w:r>
        <w:rPr>
          <w:rFonts w:asciiTheme="minorHAnsi" w:hAnsiTheme="minorHAnsi" w:cstheme="minorHAnsi"/>
          <w:sz w:val="22"/>
          <w:szCs w:val="22"/>
        </w:rPr>
        <w:t xml:space="preserve">compelling presentation </w:t>
      </w:r>
      <w:r w:rsidR="00456C6A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investing in firms that address the current “nesting practices” of Americas during the coronavirus pandemic. Th</w:t>
      </w:r>
      <w:r w:rsidR="00456C6A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current trend shows buyers seeking single-family homes, and, if they have discretionary income, repairing and refurbishing the homes/ apartments they have.  </w:t>
      </w:r>
      <w:r w:rsidR="00456C6A">
        <w:rPr>
          <w:rFonts w:asciiTheme="minorHAnsi" w:hAnsiTheme="minorHAnsi" w:cstheme="minorHAnsi"/>
          <w:sz w:val="22"/>
          <w:szCs w:val="22"/>
        </w:rPr>
        <w:t>It</w:t>
      </w:r>
      <w:r>
        <w:rPr>
          <w:rFonts w:asciiTheme="minorHAnsi" w:hAnsiTheme="minorHAnsi" w:cstheme="minorHAnsi"/>
          <w:sz w:val="22"/>
          <w:szCs w:val="22"/>
        </w:rPr>
        <w:t xml:space="preserve"> affects stores like Home Depot and Lowes, home furnishing, and home builders. Among the home builders, Paul </w:t>
      </w:r>
      <w:r w:rsidR="00607B29">
        <w:rPr>
          <w:rFonts w:asciiTheme="minorHAnsi" w:hAnsiTheme="minorHAnsi" w:cstheme="minorHAnsi"/>
          <w:sz w:val="22"/>
          <w:szCs w:val="22"/>
        </w:rPr>
        <w:t>identified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3B48">
        <w:rPr>
          <w:rFonts w:asciiTheme="minorHAnsi" w:hAnsiTheme="minorHAnsi" w:cstheme="minorHAnsi"/>
          <w:b/>
          <w:sz w:val="22"/>
          <w:szCs w:val="22"/>
        </w:rPr>
        <w:t>LGI Homes</w:t>
      </w:r>
      <w:r w:rsidR="00607B2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7B29">
        <w:rPr>
          <w:rFonts w:asciiTheme="minorHAnsi" w:hAnsiTheme="minorHAnsi" w:cstheme="minorHAnsi"/>
          <w:sz w:val="22"/>
          <w:szCs w:val="22"/>
        </w:rPr>
        <w:t>among companies held in</w:t>
      </w:r>
      <w:r w:rsidR="00607B29" w:rsidRPr="00607B29">
        <w:rPr>
          <w:rFonts w:asciiTheme="minorHAnsi" w:hAnsiTheme="minorHAnsi" w:cstheme="minorHAnsi"/>
          <w:sz w:val="22"/>
          <w:szCs w:val="22"/>
        </w:rPr>
        <w:t xml:space="preserve"> a good-performing mutual fund listed in </w:t>
      </w:r>
      <w:r w:rsidR="00607B29" w:rsidRPr="00607B29">
        <w:rPr>
          <w:rFonts w:asciiTheme="minorHAnsi" w:hAnsiTheme="minorHAnsi" w:cstheme="minorHAnsi"/>
          <w:i/>
          <w:sz w:val="22"/>
          <w:szCs w:val="22"/>
        </w:rPr>
        <w:t>Barrons</w:t>
      </w:r>
      <w:r w:rsidR="00607B29" w:rsidRPr="00607B2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607B29">
        <w:rPr>
          <w:rFonts w:asciiTheme="minorHAnsi" w:hAnsiTheme="minorHAnsi" w:cstheme="minorHAnsi"/>
          <w:sz w:val="22"/>
          <w:szCs w:val="22"/>
        </w:rPr>
        <w:t xml:space="preserve"> LGI Homes is</w:t>
      </w:r>
      <w:r>
        <w:rPr>
          <w:rFonts w:asciiTheme="minorHAnsi" w:hAnsiTheme="minorHAnsi" w:cstheme="minorHAnsi"/>
          <w:sz w:val="22"/>
          <w:szCs w:val="22"/>
        </w:rPr>
        <w:t xml:space="preserve"> a mid-size firm, </w:t>
      </w:r>
      <w:r w:rsidR="00456C6A">
        <w:rPr>
          <w:rFonts w:asciiTheme="minorHAnsi" w:hAnsiTheme="minorHAnsi" w:cstheme="minorHAnsi"/>
          <w:sz w:val="22"/>
          <w:szCs w:val="22"/>
        </w:rPr>
        <w:t>headquartered i</w:t>
      </w:r>
      <w:r>
        <w:rPr>
          <w:rFonts w:asciiTheme="minorHAnsi" w:hAnsiTheme="minorHAnsi" w:cstheme="minorHAnsi"/>
          <w:sz w:val="22"/>
          <w:szCs w:val="22"/>
        </w:rPr>
        <w:t>n Texas</w:t>
      </w:r>
      <w:r w:rsidR="00456C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6C6A">
        <w:rPr>
          <w:rFonts w:asciiTheme="minorHAnsi" w:hAnsiTheme="minorHAnsi" w:cstheme="minorHAnsi"/>
          <w:sz w:val="22"/>
          <w:szCs w:val="22"/>
        </w:rPr>
        <w:t xml:space="preserve">and </w:t>
      </w:r>
      <w:r w:rsidR="00607B29">
        <w:rPr>
          <w:rFonts w:asciiTheme="minorHAnsi" w:hAnsiTheme="minorHAnsi" w:cstheme="minorHAnsi"/>
          <w:sz w:val="22"/>
          <w:szCs w:val="22"/>
        </w:rPr>
        <w:t>active</w:t>
      </w:r>
      <w:r>
        <w:rPr>
          <w:rFonts w:asciiTheme="minorHAnsi" w:hAnsiTheme="minorHAnsi" w:cstheme="minorHAnsi"/>
          <w:sz w:val="22"/>
          <w:szCs w:val="22"/>
        </w:rPr>
        <w:t xml:space="preserve"> across the Southeast and Southwest. It has high growth, manages its debt well for the industry, is a quality company and its price is just in the Buy zone. Paul has filed his presentation and </w:t>
      </w:r>
      <w:r w:rsidR="004B3B4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nalysis in Bivio. </w:t>
      </w:r>
      <w:r w:rsidRPr="004B3B48">
        <w:rPr>
          <w:rFonts w:asciiTheme="minorHAnsi" w:hAnsiTheme="minorHAnsi" w:cstheme="minorHAnsi"/>
          <w:b/>
          <w:i/>
          <w:sz w:val="22"/>
          <w:szCs w:val="22"/>
        </w:rPr>
        <w:t>The Club voted to put LGI Homes on its Watch List.</w:t>
      </w:r>
    </w:p>
    <w:p w14:paraId="1FBB5CF0" w14:textId="62BF5498" w:rsidR="001B6EC2" w:rsidRPr="00456C6A" w:rsidRDefault="009C4F27" w:rsidP="00E24003">
      <w:pPr>
        <w:numPr>
          <w:ilvl w:val="0"/>
          <w:numId w:val="27"/>
        </w:numP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Education</w:t>
      </w:r>
      <w:r w:rsidR="004E35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>Presentation</w:t>
      </w:r>
      <w:r w:rsidR="004E35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“Using the Files of </w:t>
      </w:r>
      <w:proofErr w:type="spellStart"/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>Bivo</w:t>
      </w:r>
      <w:proofErr w:type="spellEnd"/>
      <w:proofErr w:type="gramStart"/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>”  -</w:t>
      </w:r>
      <w:proofErr w:type="gramEnd"/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6EC2" w:rsidRPr="001B6EC2">
        <w:rPr>
          <w:rFonts w:asciiTheme="minorHAnsi" w:hAnsiTheme="minorHAnsi" w:cstheme="minorHAnsi"/>
          <w:color w:val="000000"/>
          <w:sz w:val="22"/>
          <w:szCs w:val="22"/>
        </w:rPr>
        <w:t>By Sheryl Patterson and Jo Murphy</w:t>
      </w:r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1B6EC2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1B6EC2" w:rsidRPr="00456C6A">
        <w:rPr>
          <w:rFonts w:asciiTheme="minorHAnsi" w:hAnsiTheme="minorHAnsi" w:cstheme="minorHAnsi"/>
          <w:color w:val="000000"/>
          <w:sz w:val="22"/>
          <w:szCs w:val="22"/>
        </w:rPr>
        <w:t xml:space="preserve">Sheryl demonstrated how stock watchers should file their SSGs, Quarterly Reports, and Research data into the </w:t>
      </w:r>
      <w:proofErr w:type="gramStart"/>
      <w:r w:rsidR="001B6EC2" w:rsidRPr="00456C6A">
        <w:rPr>
          <w:rFonts w:asciiTheme="minorHAnsi" w:hAnsiTheme="minorHAnsi" w:cstheme="minorHAnsi"/>
          <w:color w:val="000000"/>
          <w:sz w:val="22"/>
          <w:szCs w:val="22"/>
        </w:rPr>
        <w:t>appropriate  Bivio</w:t>
      </w:r>
      <w:proofErr w:type="gramEnd"/>
      <w:r w:rsidR="001B6EC2" w:rsidRPr="00456C6A">
        <w:rPr>
          <w:rFonts w:asciiTheme="minorHAnsi" w:hAnsiTheme="minorHAnsi" w:cstheme="minorHAnsi"/>
          <w:color w:val="000000"/>
          <w:sz w:val="22"/>
          <w:szCs w:val="22"/>
        </w:rPr>
        <w:t xml:space="preserve"> folders under “Club Portfolio.”</w:t>
      </w:r>
      <w:r w:rsidR="004E35FC" w:rsidRPr="00456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6C6A" w:rsidRPr="00456C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6C6A" w:rsidRPr="00456C6A">
        <w:rPr>
          <w:rFonts w:asciiTheme="minorHAnsi" w:hAnsiTheme="minorHAnsi" w:cstheme="minorHAnsi"/>
          <w:b/>
          <w:i/>
          <w:color w:val="000000"/>
          <w:sz w:val="22"/>
          <w:szCs w:val="22"/>
        </w:rPr>
        <w:t>As time ran short, the Club determined to postpone the second part of this Bivio presentation, by Jo, for the September meeting.</w:t>
      </w:r>
    </w:p>
    <w:p w14:paraId="327164A7" w14:textId="3A07DDFD" w:rsidR="009C4F27" w:rsidRPr="00154E4C" w:rsidRDefault="004E35FC" w:rsidP="00E2400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Review of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Watchlist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9336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and new Dashboards by Ty Hughes. </w:t>
      </w:r>
    </w:p>
    <w:p w14:paraId="35C14F42" w14:textId="68195CDF" w:rsidR="002030F3" w:rsidRPr="005D3340" w:rsidRDefault="004E35FC" w:rsidP="00801338">
      <w:pPr>
        <w:numPr>
          <w:ilvl w:val="1"/>
          <w:numId w:val="27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C3419">
        <w:rPr>
          <w:rFonts w:asciiTheme="minorHAnsi" w:hAnsiTheme="minorHAnsi" w:cstheme="minorHAnsi"/>
          <w:sz w:val="22"/>
          <w:szCs w:val="22"/>
        </w:rPr>
        <w:t xml:space="preserve">Ty </w:t>
      </w:r>
      <w:r w:rsidR="00693366">
        <w:rPr>
          <w:rFonts w:asciiTheme="minorHAnsi" w:hAnsiTheme="minorHAnsi" w:cstheme="minorHAnsi"/>
          <w:sz w:val="22"/>
          <w:szCs w:val="22"/>
        </w:rPr>
        <w:t xml:space="preserve">created two new Dashboards, populated with mid-size and small stocks recommended by the </w:t>
      </w:r>
      <w:r w:rsidR="00693366" w:rsidRPr="00607F75">
        <w:rPr>
          <w:rFonts w:asciiTheme="minorHAnsi" w:hAnsiTheme="minorHAnsi" w:cstheme="minorHAnsi"/>
          <w:i/>
          <w:sz w:val="22"/>
          <w:szCs w:val="22"/>
        </w:rPr>
        <w:t>Investor’s Advisory Service</w:t>
      </w:r>
      <w:r w:rsidR="00607F75">
        <w:rPr>
          <w:rFonts w:asciiTheme="minorHAnsi" w:hAnsiTheme="minorHAnsi" w:cstheme="minorHAnsi"/>
          <w:sz w:val="22"/>
          <w:szCs w:val="22"/>
        </w:rPr>
        <w:t xml:space="preserve"> and </w:t>
      </w:r>
      <w:r w:rsidR="00607F75" w:rsidRPr="00607F75">
        <w:rPr>
          <w:rFonts w:asciiTheme="minorHAnsi" w:hAnsiTheme="minorHAnsi" w:cstheme="minorHAnsi"/>
          <w:i/>
          <w:sz w:val="22"/>
          <w:szCs w:val="22"/>
        </w:rPr>
        <w:t>Small Cap Informer</w:t>
      </w:r>
      <w:r w:rsidR="00607F75">
        <w:rPr>
          <w:rFonts w:asciiTheme="minorHAnsi" w:hAnsiTheme="minorHAnsi" w:cstheme="minorHAnsi"/>
          <w:sz w:val="22"/>
          <w:szCs w:val="22"/>
        </w:rPr>
        <w:t xml:space="preserve"> newsletters</w:t>
      </w:r>
      <w:r w:rsidR="00693366">
        <w:rPr>
          <w:rFonts w:asciiTheme="minorHAnsi" w:hAnsiTheme="minorHAnsi" w:cstheme="minorHAnsi"/>
          <w:sz w:val="22"/>
          <w:szCs w:val="22"/>
        </w:rPr>
        <w:t xml:space="preserve">. </w:t>
      </w:r>
      <w:r w:rsidR="00607F75">
        <w:rPr>
          <w:rFonts w:asciiTheme="minorHAnsi" w:hAnsiTheme="minorHAnsi" w:cstheme="minorHAnsi"/>
          <w:sz w:val="22"/>
          <w:szCs w:val="22"/>
        </w:rPr>
        <w:t xml:space="preserve">(These newsletters are published by BI supporter, Doug </w:t>
      </w:r>
      <w:proofErr w:type="spellStart"/>
      <w:r w:rsidR="00607F75">
        <w:rPr>
          <w:rFonts w:asciiTheme="minorHAnsi" w:hAnsiTheme="minorHAnsi" w:cstheme="minorHAnsi"/>
          <w:sz w:val="22"/>
          <w:szCs w:val="22"/>
        </w:rPr>
        <w:t>Gerlach</w:t>
      </w:r>
      <w:proofErr w:type="spellEnd"/>
      <w:r w:rsidR="00607F75">
        <w:rPr>
          <w:rFonts w:asciiTheme="minorHAnsi" w:hAnsiTheme="minorHAnsi" w:cstheme="minorHAnsi"/>
          <w:sz w:val="22"/>
          <w:szCs w:val="22"/>
        </w:rPr>
        <w:t xml:space="preserve">.) </w:t>
      </w:r>
      <w:r w:rsidR="00693366">
        <w:rPr>
          <w:rFonts w:asciiTheme="minorHAnsi" w:hAnsiTheme="minorHAnsi" w:cstheme="minorHAnsi"/>
          <w:sz w:val="22"/>
          <w:szCs w:val="22"/>
        </w:rPr>
        <w:t>The</w:t>
      </w:r>
      <w:r w:rsidR="00607F75">
        <w:rPr>
          <w:rFonts w:asciiTheme="minorHAnsi" w:hAnsiTheme="minorHAnsi" w:cstheme="minorHAnsi"/>
          <w:sz w:val="22"/>
          <w:szCs w:val="22"/>
        </w:rPr>
        <w:t xml:space="preserve"> new</w:t>
      </w:r>
      <w:r w:rsidR="00693366">
        <w:rPr>
          <w:rFonts w:asciiTheme="minorHAnsi" w:hAnsiTheme="minorHAnsi" w:cstheme="minorHAnsi"/>
          <w:sz w:val="22"/>
          <w:szCs w:val="22"/>
        </w:rPr>
        <w:t xml:space="preserve"> dashboards are located </w:t>
      </w:r>
      <w:r w:rsidR="00607F75">
        <w:rPr>
          <w:rFonts w:asciiTheme="minorHAnsi" w:hAnsiTheme="minorHAnsi" w:cstheme="minorHAnsi"/>
          <w:sz w:val="22"/>
          <w:szCs w:val="22"/>
        </w:rPr>
        <w:t xml:space="preserve">on the Manifest Investing Website, under “Dashboards” </w:t>
      </w:r>
      <w:r w:rsidR="00407693">
        <w:rPr>
          <w:rFonts w:asciiTheme="minorHAnsi" w:hAnsiTheme="minorHAnsi" w:cstheme="minorHAnsi"/>
          <w:sz w:val="22"/>
          <w:szCs w:val="22"/>
        </w:rPr>
        <w:t>i</w:t>
      </w:r>
      <w:r w:rsidR="00693366">
        <w:rPr>
          <w:rFonts w:asciiTheme="minorHAnsi" w:hAnsiTheme="minorHAnsi" w:cstheme="minorHAnsi"/>
          <w:sz w:val="22"/>
          <w:szCs w:val="22"/>
        </w:rPr>
        <w:t xml:space="preserve">n the </w:t>
      </w:r>
      <w:proofErr w:type="gramStart"/>
      <w:r w:rsidR="00693366">
        <w:rPr>
          <w:rFonts w:asciiTheme="minorHAnsi" w:hAnsiTheme="minorHAnsi" w:cstheme="minorHAnsi"/>
          <w:sz w:val="22"/>
          <w:szCs w:val="22"/>
        </w:rPr>
        <w:t xml:space="preserve">MICNOVA </w:t>
      </w:r>
      <w:r w:rsidR="00407693">
        <w:rPr>
          <w:rFonts w:asciiTheme="minorHAnsi" w:hAnsiTheme="minorHAnsi" w:cstheme="minorHAnsi"/>
          <w:sz w:val="22"/>
          <w:szCs w:val="22"/>
        </w:rPr>
        <w:t xml:space="preserve"> </w:t>
      </w:r>
      <w:r w:rsidR="00607F75">
        <w:rPr>
          <w:rFonts w:asciiTheme="minorHAnsi" w:hAnsiTheme="minorHAnsi" w:cstheme="minorHAnsi"/>
          <w:sz w:val="22"/>
          <w:szCs w:val="22"/>
        </w:rPr>
        <w:t>f</w:t>
      </w:r>
      <w:r w:rsidR="00407693">
        <w:rPr>
          <w:rFonts w:asciiTheme="minorHAnsi" w:hAnsiTheme="minorHAnsi" w:cstheme="minorHAnsi"/>
          <w:sz w:val="22"/>
          <w:szCs w:val="22"/>
        </w:rPr>
        <w:t>older</w:t>
      </w:r>
      <w:proofErr w:type="gramEnd"/>
      <w:r w:rsidR="00407693">
        <w:rPr>
          <w:rFonts w:asciiTheme="minorHAnsi" w:hAnsiTheme="minorHAnsi" w:cstheme="minorHAnsi"/>
          <w:sz w:val="22"/>
          <w:szCs w:val="22"/>
        </w:rPr>
        <w:t xml:space="preserve">. </w:t>
      </w:r>
      <w:r w:rsidR="00607F75">
        <w:rPr>
          <w:rFonts w:asciiTheme="minorHAnsi" w:hAnsiTheme="minorHAnsi" w:cstheme="minorHAnsi"/>
          <w:sz w:val="22"/>
          <w:szCs w:val="22"/>
        </w:rPr>
        <w:t>Ty</w:t>
      </w:r>
      <w:r w:rsidR="00693366">
        <w:rPr>
          <w:rFonts w:asciiTheme="minorHAnsi" w:hAnsiTheme="minorHAnsi" w:cstheme="minorHAnsi"/>
          <w:sz w:val="22"/>
          <w:szCs w:val="22"/>
        </w:rPr>
        <w:t xml:space="preserve"> </w:t>
      </w:r>
      <w:r w:rsidR="00407693">
        <w:rPr>
          <w:rFonts w:asciiTheme="minorHAnsi" w:hAnsiTheme="minorHAnsi" w:cstheme="minorHAnsi"/>
          <w:sz w:val="22"/>
          <w:szCs w:val="22"/>
        </w:rPr>
        <w:t>quickly</w:t>
      </w:r>
      <w:r w:rsidR="00693366">
        <w:rPr>
          <w:rFonts w:asciiTheme="minorHAnsi" w:hAnsiTheme="minorHAnsi" w:cstheme="minorHAnsi"/>
          <w:sz w:val="22"/>
          <w:szCs w:val="22"/>
        </w:rPr>
        <w:t xml:space="preserve"> reviewed the MicNova </w:t>
      </w:r>
      <w:proofErr w:type="spellStart"/>
      <w:r w:rsidR="00693366">
        <w:rPr>
          <w:rFonts w:asciiTheme="minorHAnsi" w:hAnsiTheme="minorHAnsi" w:cstheme="minorHAnsi"/>
          <w:sz w:val="22"/>
          <w:szCs w:val="22"/>
        </w:rPr>
        <w:t>Watchlist</w:t>
      </w:r>
      <w:proofErr w:type="spellEnd"/>
      <w:r w:rsidR="00693366">
        <w:rPr>
          <w:rFonts w:asciiTheme="minorHAnsi" w:hAnsiTheme="minorHAnsi" w:cstheme="minorHAnsi"/>
          <w:sz w:val="22"/>
          <w:szCs w:val="22"/>
        </w:rPr>
        <w:t xml:space="preserve">, </w:t>
      </w:r>
      <w:r w:rsidR="00607F75">
        <w:rPr>
          <w:rFonts w:asciiTheme="minorHAnsi" w:hAnsiTheme="minorHAnsi" w:cstheme="minorHAnsi"/>
          <w:sz w:val="22"/>
          <w:szCs w:val="22"/>
        </w:rPr>
        <w:t>in that folder, then considered stocks in the two new dashboards</w:t>
      </w:r>
      <w:r w:rsidR="00693366">
        <w:rPr>
          <w:rFonts w:asciiTheme="minorHAnsi" w:hAnsiTheme="minorHAnsi" w:cstheme="minorHAnsi"/>
          <w:sz w:val="22"/>
          <w:szCs w:val="22"/>
        </w:rPr>
        <w:t>. From these Dashboards</w:t>
      </w:r>
      <w:r w:rsidR="00407693">
        <w:rPr>
          <w:rFonts w:asciiTheme="minorHAnsi" w:hAnsiTheme="minorHAnsi" w:cstheme="minorHAnsi"/>
          <w:sz w:val="22"/>
          <w:szCs w:val="22"/>
        </w:rPr>
        <w:t xml:space="preserve">, </w:t>
      </w:r>
      <w:r w:rsidR="00607F75">
        <w:rPr>
          <w:rFonts w:asciiTheme="minorHAnsi" w:hAnsiTheme="minorHAnsi" w:cstheme="minorHAnsi"/>
          <w:sz w:val="22"/>
          <w:szCs w:val="22"/>
        </w:rPr>
        <w:t>Ty removed</w:t>
      </w:r>
      <w:r w:rsidR="00693366">
        <w:rPr>
          <w:rFonts w:asciiTheme="minorHAnsi" w:hAnsiTheme="minorHAnsi" w:cstheme="minorHAnsi"/>
          <w:sz w:val="22"/>
          <w:szCs w:val="22"/>
        </w:rPr>
        <w:t xml:space="preserve"> stocks in sectors currently hurt by the pandemic, including all banks, or those with slow growth. </w:t>
      </w:r>
      <w:r w:rsidR="005D3340">
        <w:rPr>
          <w:rFonts w:asciiTheme="minorHAnsi" w:hAnsiTheme="minorHAnsi" w:cstheme="minorHAnsi"/>
          <w:sz w:val="22"/>
          <w:szCs w:val="22"/>
        </w:rPr>
        <w:t xml:space="preserve"> </w:t>
      </w:r>
      <w:r w:rsidR="00693366">
        <w:rPr>
          <w:rFonts w:asciiTheme="minorHAnsi" w:hAnsiTheme="minorHAnsi" w:cstheme="minorHAnsi"/>
          <w:sz w:val="22"/>
          <w:szCs w:val="22"/>
        </w:rPr>
        <w:t>Two stocks</w:t>
      </w:r>
      <w:r w:rsidR="00407693">
        <w:rPr>
          <w:rFonts w:asciiTheme="minorHAnsi" w:hAnsiTheme="minorHAnsi" w:cstheme="minorHAnsi"/>
          <w:sz w:val="22"/>
          <w:szCs w:val="22"/>
        </w:rPr>
        <w:t xml:space="preserve">, </w:t>
      </w:r>
      <w:r w:rsidR="00607F75">
        <w:rPr>
          <w:rFonts w:asciiTheme="minorHAnsi" w:hAnsiTheme="minorHAnsi" w:cstheme="minorHAnsi"/>
          <w:sz w:val="22"/>
          <w:szCs w:val="22"/>
        </w:rPr>
        <w:t>in</w:t>
      </w:r>
      <w:r w:rsidR="00407693">
        <w:rPr>
          <w:rFonts w:asciiTheme="minorHAnsi" w:hAnsiTheme="minorHAnsi" w:cstheme="minorHAnsi"/>
          <w:sz w:val="22"/>
          <w:szCs w:val="22"/>
        </w:rPr>
        <w:t xml:space="preserve"> the new</w:t>
      </w:r>
      <w:r w:rsidR="00607F75">
        <w:rPr>
          <w:rFonts w:asciiTheme="minorHAnsi" w:hAnsiTheme="minorHAnsi" w:cstheme="minorHAnsi"/>
          <w:sz w:val="22"/>
          <w:szCs w:val="22"/>
        </w:rPr>
        <w:t xml:space="preserve"> </w:t>
      </w:r>
      <w:r w:rsidR="00693366">
        <w:rPr>
          <w:rFonts w:asciiTheme="minorHAnsi" w:hAnsiTheme="minorHAnsi" w:cstheme="minorHAnsi"/>
          <w:sz w:val="22"/>
          <w:szCs w:val="22"/>
        </w:rPr>
        <w:t>Dashboards seemed to meet</w:t>
      </w:r>
      <w:r w:rsidR="00607F75">
        <w:rPr>
          <w:rFonts w:asciiTheme="minorHAnsi" w:hAnsiTheme="minorHAnsi" w:cstheme="minorHAnsi"/>
          <w:sz w:val="22"/>
          <w:szCs w:val="22"/>
        </w:rPr>
        <w:t xml:space="preserve"> our criteria </w:t>
      </w:r>
      <w:proofErr w:type="gramStart"/>
      <w:r w:rsidR="00607F75">
        <w:rPr>
          <w:rFonts w:asciiTheme="minorHAnsi" w:hAnsiTheme="minorHAnsi" w:cstheme="minorHAnsi"/>
          <w:sz w:val="22"/>
          <w:szCs w:val="22"/>
        </w:rPr>
        <w:t xml:space="preserve">for </w:t>
      </w:r>
      <w:r w:rsidR="00693366">
        <w:rPr>
          <w:rFonts w:asciiTheme="minorHAnsi" w:hAnsiTheme="minorHAnsi" w:cstheme="minorHAnsi"/>
          <w:sz w:val="22"/>
          <w:szCs w:val="22"/>
        </w:rPr>
        <w:t xml:space="preserve"> growth</w:t>
      </w:r>
      <w:proofErr w:type="gramEnd"/>
      <w:r w:rsidR="00693366">
        <w:rPr>
          <w:rFonts w:asciiTheme="minorHAnsi" w:hAnsiTheme="minorHAnsi" w:cstheme="minorHAnsi"/>
          <w:sz w:val="22"/>
          <w:szCs w:val="22"/>
        </w:rPr>
        <w:t>, quality,</w:t>
      </w:r>
      <w:r w:rsidR="00407693">
        <w:rPr>
          <w:rFonts w:asciiTheme="minorHAnsi" w:hAnsiTheme="minorHAnsi" w:cstheme="minorHAnsi"/>
          <w:sz w:val="22"/>
          <w:szCs w:val="22"/>
        </w:rPr>
        <w:t xml:space="preserve"> </w:t>
      </w:r>
      <w:r w:rsidR="00607F75">
        <w:rPr>
          <w:rFonts w:asciiTheme="minorHAnsi" w:hAnsiTheme="minorHAnsi" w:cstheme="minorHAnsi"/>
          <w:sz w:val="22"/>
          <w:szCs w:val="22"/>
        </w:rPr>
        <w:t>and buy zone</w:t>
      </w:r>
      <w:r w:rsidR="00693366">
        <w:rPr>
          <w:rFonts w:asciiTheme="minorHAnsi" w:hAnsiTheme="minorHAnsi" w:cstheme="minorHAnsi"/>
          <w:sz w:val="22"/>
          <w:szCs w:val="22"/>
        </w:rPr>
        <w:t xml:space="preserve">: </w:t>
      </w:r>
      <w:r w:rsidR="00693366" w:rsidRPr="00407693">
        <w:rPr>
          <w:rFonts w:asciiTheme="minorHAnsi" w:hAnsiTheme="minorHAnsi" w:cstheme="minorHAnsi"/>
          <w:b/>
          <w:sz w:val="22"/>
          <w:szCs w:val="22"/>
        </w:rPr>
        <w:t>LGI Homes</w:t>
      </w:r>
      <w:r w:rsidR="00693366">
        <w:rPr>
          <w:rFonts w:asciiTheme="minorHAnsi" w:hAnsiTheme="minorHAnsi" w:cstheme="minorHAnsi"/>
          <w:sz w:val="22"/>
          <w:szCs w:val="22"/>
        </w:rPr>
        <w:t xml:space="preserve"> and  </w:t>
      </w:r>
      <w:proofErr w:type="spellStart"/>
      <w:r w:rsidR="00407693" w:rsidRPr="00407693">
        <w:rPr>
          <w:rFonts w:asciiTheme="minorHAnsi" w:hAnsiTheme="minorHAnsi" w:cstheme="minorHAnsi"/>
          <w:b/>
          <w:sz w:val="22"/>
          <w:szCs w:val="22"/>
        </w:rPr>
        <w:t>Essent</w:t>
      </w:r>
      <w:proofErr w:type="spellEnd"/>
      <w:r w:rsidR="00407693" w:rsidRPr="00407693">
        <w:rPr>
          <w:rFonts w:asciiTheme="minorHAnsi" w:hAnsiTheme="minorHAnsi" w:cstheme="minorHAnsi"/>
          <w:b/>
          <w:sz w:val="22"/>
          <w:szCs w:val="22"/>
        </w:rPr>
        <w:t xml:space="preserve"> Group, LTD</w:t>
      </w:r>
      <w:r w:rsidR="00407693">
        <w:rPr>
          <w:rFonts w:asciiTheme="minorHAnsi" w:hAnsiTheme="minorHAnsi" w:cstheme="minorHAnsi"/>
          <w:sz w:val="22"/>
          <w:szCs w:val="22"/>
        </w:rPr>
        <w:t xml:space="preserve">, a mortgage provider. </w:t>
      </w:r>
      <w:r w:rsidR="00407693" w:rsidRPr="00407693">
        <w:rPr>
          <w:rFonts w:asciiTheme="minorHAnsi" w:hAnsiTheme="minorHAnsi" w:cstheme="minorHAnsi"/>
          <w:b/>
          <w:sz w:val="22"/>
          <w:szCs w:val="22"/>
        </w:rPr>
        <w:t xml:space="preserve">The Club voted to add </w:t>
      </w:r>
      <w:proofErr w:type="spellStart"/>
      <w:r w:rsidR="00607F75">
        <w:rPr>
          <w:rFonts w:asciiTheme="minorHAnsi" w:hAnsiTheme="minorHAnsi" w:cstheme="minorHAnsi"/>
          <w:b/>
          <w:sz w:val="22"/>
          <w:szCs w:val="22"/>
        </w:rPr>
        <w:t>Essent</w:t>
      </w:r>
      <w:proofErr w:type="spellEnd"/>
      <w:r w:rsidR="00607F75">
        <w:rPr>
          <w:rFonts w:asciiTheme="minorHAnsi" w:hAnsiTheme="minorHAnsi" w:cstheme="minorHAnsi"/>
          <w:b/>
          <w:sz w:val="22"/>
          <w:szCs w:val="22"/>
        </w:rPr>
        <w:t xml:space="preserve"> Group, in addition to LGI Homes,</w:t>
      </w:r>
      <w:r w:rsidR="00407693" w:rsidRPr="00407693">
        <w:rPr>
          <w:rFonts w:asciiTheme="minorHAnsi" w:hAnsiTheme="minorHAnsi" w:cstheme="minorHAnsi"/>
          <w:b/>
          <w:sz w:val="22"/>
          <w:szCs w:val="22"/>
        </w:rPr>
        <w:t xml:space="preserve"> to its </w:t>
      </w:r>
      <w:proofErr w:type="spellStart"/>
      <w:r w:rsidR="00407693" w:rsidRPr="00407693">
        <w:rPr>
          <w:rFonts w:asciiTheme="minorHAnsi" w:hAnsiTheme="minorHAnsi" w:cstheme="minorHAnsi"/>
          <w:b/>
          <w:sz w:val="22"/>
          <w:szCs w:val="22"/>
        </w:rPr>
        <w:t>Watchlist</w:t>
      </w:r>
      <w:proofErr w:type="spellEnd"/>
      <w:r w:rsidR="00407693">
        <w:rPr>
          <w:rFonts w:asciiTheme="minorHAnsi" w:hAnsiTheme="minorHAnsi" w:cstheme="minorHAnsi"/>
          <w:b/>
          <w:sz w:val="22"/>
          <w:szCs w:val="22"/>
        </w:rPr>
        <w:t>.</w:t>
      </w:r>
    </w:p>
    <w:p w14:paraId="54CCA525" w14:textId="4EB720E0" w:rsidR="00E372E9" w:rsidRPr="00154E4C" w:rsidRDefault="00580227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D33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club voted </w:t>
      </w:r>
      <w:r w:rsidR="00407693" w:rsidRPr="004076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sell all shares of Booking</w:t>
      </w:r>
      <w:r w:rsidR="00407693">
        <w:rPr>
          <w:rFonts w:asciiTheme="minorHAnsi" w:hAnsiTheme="minorHAnsi" w:cstheme="minorHAnsi"/>
          <w:bCs/>
          <w:color w:val="000000"/>
          <w:sz w:val="22"/>
          <w:szCs w:val="22"/>
        </w:rPr>
        <w:t>, at market</w:t>
      </w:r>
      <w:r w:rsidR="009763C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9DA0753" w14:textId="7E9DE1D9" w:rsidR="0011215A" w:rsidRPr="00154E4C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154E4C">
        <w:rPr>
          <w:rFonts w:asciiTheme="minorHAnsi" w:hAnsiTheme="minorHAnsi" w:cstheme="minorHAnsi"/>
          <w:b/>
          <w:sz w:val="22"/>
          <w:szCs w:val="22"/>
        </w:rPr>
        <w:tab/>
      </w:r>
    </w:p>
    <w:p w14:paraId="2C57C170" w14:textId="719396B2" w:rsidR="0011215A" w:rsidRPr="00154E4C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Online MicNova </w:t>
      </w:r>
      <w:r w:rsidRPr="00BC589D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Planning </w:t>
      </w:r>
      <w:r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2529B" w:rsidRPr="00C2529B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C2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BC58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BC589D" w:rsidRPr="00BC58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hursday</w:t>
      </w:r>
      <w:r w:rsidR="00C2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3B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September 10</w:t>
      </w:r>
      <w:r w:rsidR="00C2529B" w:rsidRPr="00BC589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="00C2529B" w:rsidRPr="00BC589D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2020</w:t>
      </w:r>
      <w:r w:rsidR="00C2529B" w:rsidRPr="00154E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</w:t>
      </w:r>
      <w:r w:rsidR="00C252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</w:t>
      </w:r>
      <w:r w:rsidR="00C2529B" w:rsidRPr="00154E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:00 – 9:00 PM</w:t>
      </w:r>
      <w:r w:rsidR="00C2529B"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A4A7B3" w14:textId="64C4C62D" w:rsidR="0011215A" w:rsidRPr="00154E4C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MicNova </w:t>
      </w:r>
      <w:r w:rsidR="006E6AD0"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154E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89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C589D" w:rsidRPr="00BC589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B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BC589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Tuesda</w:t>
      </w:r>
      <w:r w:rsidR="00C252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C2529B" w:rsidRPr="00154E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443B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September 15</w:t>
      </w:r>
      <w:r w:rsidR="00C2529B" w:rsidRPr="00BC589D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, 2020</w:t>
      </w:r>
      <w:r w:rsidR="00C2529B" w:rsidRPr="00154E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</w:t>
      </w:r>
      <w:r w:rsidR="00C252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="00C2529B" w:rsidRPr="00154E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:00 - 9:00 PM</w:t>
      </w:r>
    </w:p>
    <w:p w14:paraId="6AD70FA3" w14:textId="7B1BD8DF" w:rsidR="0011215A" w:rsidRPr="00154E4C" w:rsidRDefault="0011215A" w:rsidP="00A67B54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C44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</w:t>
      </w:r>
      <w:r w:rsidR="002A32F9" w:rsidRPr="00154E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</w:t>
      </w:r>
      <w:r w:rsidR="003D0F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4C3D5D" w:rsidRPr="00154E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443B7">
        <w:rPr>
          <w:rFonts w:asciiTheme="minorHAnsi" w:hAnsiTheme="minorHAnsi" w:cstheme="minorHAnsi"/>
          <w:color w:val="000000" w:themeColor="text1"/>
          <w:sz w:val="22"/>
          <w:szCs w:val="22"/>
        </w:rPr>
        <w:t>ABB</w:t>
      </w:r>
      <w:r w:rsidR="000C6689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C22CC4"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C443B7">
        <w:rPr>
          <w:rFonts w:asciiTheme="minorHAnsi" w:hAnsiTheme="minorHAnsi" w:cstheme="minorHAnsi"/>
          <w:color w:val="000000" w:themeColor="text1"/>
          <w:sz w:val="22"/>
          <w:szCs w:val="22"/>
        </w:rPr>
        <w:t>Amy)</w:t>
      </w:r>
      <w:r w:rsidR="00EF06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653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0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BRK.B (Q2, Gladys), </w:t>
      </w:r>
      <w:proofErr w:type="spellStart"/>
      <w:r w:rsidR="00F6532B">
        <w:rPr>
          <w:rFonts w:asciiTheme="minorHAnsi" w:hAnsiTheme="minorHAnsi" w:cstheme="minorHAnsi"/>
          <w:color w:val="000000" w:themeColor="text1"/>
          <w:sz w:val="22"/>
          <w:szCs w:val="22"/>
        </w:rPr>
        <w:t>Gentex</w:t>
      </w:r>
      <w:proofErr w:type="spellEnd"/>
      <w:r w:rsidR="00F653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(Wilbert), </w:t>
      </w:r>
      <w:r w:rsidR="00117835">
        <w:rPr>
          <w:rFonts w:asciiTheme="minorHAnsi" w:hAnsiTheme="minorHAnsi" w:cstheme="minorHAnsi"/>
          <w:color w:val="000000" w:themeColor="text1"/>
          <w:sz w:val="22"/>
          <w:szCs w:val="22"/>
        </w:rPr>
        <w:t>MNST (Kent), TROW (Arvind)</w:t>
      </w:r>
      <w:r w:rsidR="006E2E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F06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B80D21" w14:textId="77777777" w:rsidR="00251D92" w:rsidRPr="00154E4C" w:rsidRDefault="00251D92" w:rsidP="00251D9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D81B0C6" w14:textId="7CFA4F84" w:rsidR="00D06EEB" w:rsidRPr="00154E4C" w:rsidRDefault="00086C6A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7EE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Preliminary</w:t>
      </w:r>
      <w:r w:rsidRPr="00047EE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="00D06EEB" w:rsidRPr="00154E4C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Stock Presentations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and Conducting MicNova Meetings*</w:t>
      </w:r>
    </w:p>
    <w:p w14:paraId="636765F5" w14:textId="77777777" w:rsidR="00D06EEB" w:rsidRPr="00154E4C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2670"/>
        <w:gridCol w:w="2100"/>
        <w:gridCol w:w="2340"/>
        <w:gridCol w:w="2306"/>
      </w:tblGrid>
      <w:tr w:rsidR="003371B2" w:rsidRPr="00154E4C" w14:paraId="29DC37E5" w14:textId="77777777" w:rsidTr="003371B2">
        <w:trPr>
          <w:trHeight w:val="525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154E4C" w:rsidRDefault="003371B2">
            <w:pPr>
              <w:ind w:firstLineChars="400" w:firstLine="8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D97155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71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D97155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71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Conduct MicNova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D97155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971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Conduct MicNova Planning GTM date</w:t>
            </w:r>
          </w:p>
        </w:tc>
      </w:tr>
      <w:tr w:rsidR="003371B2" w:rsidRPr="00154E4C" w14:paraId="406CAB5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 xml:space="preserve">Patterson, </w:t>
            </w:r>
            <w:proofErr w:type="spellStart"/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154E4C" w:rsidRDefault="00D97155" w:rsidP="00D97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5324" w:rsidRPr="00D9715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9715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5324" w:rsidRPr="00D97155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D971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75FBC6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154E4C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E6AD1C6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Kent</w:t>
            </w:r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154E4C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154E4C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12/1</w:t>
            </w:r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154E4C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19C435A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154E4C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154E4C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154E4C" w:rsidRDefault="00047EEF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3371B2" w:rsidRPr="00154E4C" w14:paraId="3FB924B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 xml:space="preserve">Krishnarao, </w:t>
            </w:r>
            <w:proofErr w:type="spellStart"/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Maskev</w:t>
            </w:r>
            <w:proofErr w:type="spellEnd"/>
            <w:r w:rsidR="00770855">
              <w:rPr>
                <w:rFonts w:asciiTheme="minorHAnsi" w:hAnsiTheme="minorHAnsi" w:cstheme="minorHAnsi"/>
                <w:sz w:val="20"/>
                <w:szCs w:val="20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154E4C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7818D82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154E4C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154E4C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154E4C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3371B2" w:rsidRPr="00154E4C" w14:paraId="5D8FBF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Arumugam</w:t>
            </w:r>
            <w:proofErr w:type="spellEnd"/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154E4C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154E4C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154E4C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154E4C" w14:paraId="19D8578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Henrikson,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2A543744" w:rsidR="003371B2" w:rsidRPr="00154E4C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3/16/2021</w:t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154E4C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154E4C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27F8BA5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154E4C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13952CF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154E4C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154E4C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 xml:space="preserve"> 9/</w:t>
            </w:r>
            <w:r w:rsidR="009608C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60B797C9" w:rsidR="003371B2" w:rsidRPr="00154E4C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11/1</w:t>
            </w:r>
            <w:r w:rsidR="007708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77085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154E4C" w:rsidRDefault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53223D3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55CB7B02" w:rsidR="003371B2" w:rsidRPr="00154E4C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11FDB87" w:rsidR="003371B2" w:rsidRPr="00154E4C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E78C0B" w14:textId="77777777" w:rsidR="003371B2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33950" w14:textId="6AF46B7E" w:rsidR="00D97155" w:rsidRPr="00154E4C" w:rsidRDefault="00D971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A5E59" w14:textId="277C3906" w:rsidR="003371B2" w:rsidRPr="00154E4C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154E4C" w14:paraId="7A968C5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42729B8F" w:rsidR="003371B2" w:rsidRPr="00154E4C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4AA85B82" w:rsidR="003371B2" w:rsidRPr="00154E4C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6/15</w:t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F4D37" w14:textId="77777777" w:rsidR="00770855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09BB" w14:textId="4BCE8031" w:rsidR="003371B2" w:rsidRPr="00154E4C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  <w:r w:rsidR="003371B2"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3210" w14:textId="77777777" w:rsidR="00770855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1544" w14:textId="31A46B75" w:rsidR="003371B2" w:rsidRPr="00154E4C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6/</w:t>
            </w:r>
            <w:r w:rsidR="007708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7708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154E4C" w14:paraId="01FD3740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154E4C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Onufrak,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154E4C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7/</w:t>
            </w:r>
            <w:r w:rsidR="00D971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D971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A6D0254" w14:textId="297B047C" w:rsidR="00D2156B" w:rsidRPr="00154E4C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FF2A0E" w14:textId="2DA2B6C1" w:rsidR="00D2156B" w:rsidRPr="00154E4C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3/11/21</w:t>
            </w:r>
          </w:p>
        </w:tc>
      </w:tr>
      <w:tr w:rsidR="003371B2" w:rsidRPr="00154E4C" w14:paraId="4FB6366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154E4C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154E4C" w:rsidRDefault="003371B2" w:rsidP="00E35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 w:rsidR="00E3515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3515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646BEC" w14:textId="0BC52145" w:rsidR="003371B2" w:rsidRPr="00154E4C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16F3" w14:textId="77C839E9" w:rsidR="003371B2" w:rsidRPr="00154E4C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9608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5/2020</w:t>
            </w:r>
          </w:p>
        </w:tc>
      </w:tr>
      <w:tr w:rsidR="003371B2" w:rsidRPr="00154E4C" w14:paraId="47787BBF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154E4C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154E4C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Timmes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154E4C" w:rsidRDefault="003227E5" w:rsidP="003227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9/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BDCAA" w14:textId="5E85C352" w:rsidR="003371B2" w:rsidRPr="00154E4C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6/1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54E4C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D0BBF" w14:textId="3462DF37" w:rsidR="003371B2" w:rsidRPr="00154E4C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</w:tbl>
    <w:p w14:paraId="4B34692C" w14:textId="77777777" w:rsidR="00D45149" w:rsidRPr="00154E4C" w:rsidRDefault="00D45149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A3A53E3" w14:textId="77777777" w:rsidR="001F4FEB" w:rsidRPr="00154E4C" w:rsidRDefault="001F4F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02988" w14:textId="53AA8C3C" w:rsidR="00643B44" w:rsidRPr="00DF5576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154E4C">
        <w:rPr>
          <w:rFonts w:asciiTheme="minorHAnsi" w:hAnsiTheme="minorHAnsi" w:cstheme="minorHAnsi"/>
          <w:b/>
          <w:bCs/>
          <w:sz w:val="28"/>
          <w:szCs w:val="28"/>
        </w:rPr>
        <w:t>MicNOVA</w:t>
      </w:r>
      <w:proofErr w:type="spellEnd"/>
      <w:r w:rsidRPr="00154E4C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as of </w:t>
      </w:r>
      <w:r w:rsidR="00427D36" w:rsidRPr="00154E4C">
        <w:rPr>
          <w:rFonts w:asciiTheme="minorHAnsi" w:hAnsiTheme="minorHAnsi" w:cstheme="minorHAnsi"/>
          <w:b/>
          <w:bCs/>
          <w:sz w:val="28"/>
          <w:szCs w:val="28"/>
        </w:rPr>
        <w:t xml:space="preserve">as </w:t>
      </w:r>
      <w:r w:rsidR="00427D36" w:rsidRPr="00DF5576">
        <w:rPr>
          <w:rFonts w:asciiTheme="minorHAnsi" w:hAnsiTheme="minorHAnsi" w:cstheme="minorHAnsi"/>
          <w:b/>
          <w:bCs/>
          <w:sz w:val="28"/>
          <w:szCs w:val="28"/>
        </w:rPr>
        <w:t>of 0</w:t>
      </w:r>
      <w:r w:rsidR="005B3728" w:rsidRPr="00DF557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427D36" w:rsidRPr="00DF5576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B3728" w:rsidRPr="00DF557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2435A" w:rsidRPr="00DF557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427D36" w:rsidRPr="00DF5576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63D7A89E" w14:textId="77777777" w:rsidR="00643B44" w:rsidRPr="00DF5576" w:rsidRDefault="00643B44" w:rsidP="002A4BBA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044"/>
        <w:gridCol w:w="815"/>
        <w:gridCol w:w="1108"/>
        <w:gridCol w:w="995"/>
        <w:gridCol w:w="875"/>
        <w:gridCol w:w="713"/>
        <w:gridCol w:w="935"/>
        <w:gridCol w:w="806"/>
        <w:gridCol w:w="1480"/>
      </w:tblGrid>
      <w:tr w:rsidR="00FE0FB1" w:rsidRPr="00154E4C" w14:paraId="72BE7DE6" w14:textId="77777777" w:rsidTr="007D48EB">
        <w:trPr>
          <w:jc w:val="center"/>
        </w:trPr>
        <w:tc>
          <w:tcPr>
            <w:tcW w:w="0" w:type="auto"/>
          </w:tcPr>
          <w:p w14:paraId="4487328A" w14:textId="77777777" w:rsidR="007D48EB" w:rsidRPr="00154E4C" w:rsidRDefault="007D48EB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05FDC0B" w14:textId="5B5E1CE4" w:rsidR="00643B44" w:rsidRPr="00154E4C" w:rsidRDefault="00643B44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</w:tcPr>
          <w:p w14:paraId="6889555B" w14:textId="77777777" w:rsidR="00643B44" w:rsidRPr="00154E4C" w:rsidRDefault="00643B44" w:rsidP="001A3D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</w:tcPr>
          <w:p w14:paraId="779C6935" w14:textId="431F6603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7D48EB"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rice</w:t>
            </w:r>
          </w:p>
        </w:tc>
        <w:tc>
          <w:tcPr>
            <w:tcW w:w="1108" w:type="dxa"/>
          </w:tcPr>
          <w:p w14:paraId="636CB05B" w14:textId="42088188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467D1EB3" w14:textId="5BB66FAB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</w:tcPr>
          <w:p w14:paraId="278C6CA2" w14:textId="77777777" w:rsidR="007D48EB" w:rsidRPr="00154E4C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490F8A06" w14:textId="06A4B8CB" w:rsidR="00643B44" w:rsidRPr="00154E4C" w:rsidRDefault="00623E88" w:rsidP="00FE0FB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</w:t>
            </w:r>
            <w:r w:rsidR="005B37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uly</w:t>
            </w:r>
            <w:r w:rsidR="00D31EE7"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B37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="001C4207"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</w:t>
            </w:r>
          </w:p>
        </w:tc>
        <w:tc>
          <w:tcPr>
            <w:tcW w:w="0" w:type="auto"/>
          </w:tcPr>
          <w:p w14:paraId="200C95A0" w14:textId="77777777" w:rsidR="00643B44" w:rsidRPr="00154E4C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742EEF94" w14:textId="7B12EC9F" w:rsidR="00643B44" w:rsidRPr="00154E4C" w:rsidRDefault="00643B44" w:rsidP="003B0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</w:tcPr>
          <w:p w14:paraId="47A9F415" w14:textId="77777777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</w:tcPr>
          <w:p w14:paraId="61E54991" w14:textId="77777777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5E059215" w14:textId="080C7B5D" w:rsidR="00643B44" w:rsidRPr="00154E4C" w:rsidRDefault="00643B4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14:paraId="11AABE90" w14:textId="77777777" w:rsidR="007D48EB" w:rsidRPr="00154E4C" w:rsidRDefault="007D48EB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6C22246" w14:textId="77777777" w:rsidR="00643B44" w:rsidRPr="00154E4C" w:rsidRDefault="00643B44" w:rsidP="007D48E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</w:tcPr>
          <w:p w14:paraId="5A90D763" w14:textId="06781CAA" w:rsidR="00643B44" w:rsidRPr="00154E4C" w:rsidRDefault="001129C4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</w:t>
            </w:r>
            <w:r w:rsidR="00643B44"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atcher</w:t>
            </w:r>
          </w:p>
          <w:p w14:paraId="30A98776" w14:textId="27781FFA" w:rsidR="00643B44" w:rsidRPr="00154E4C" w:rsidRDefault="007D48EB" w:rsidP="007D48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4E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D17A33" w:rsidRPr="00154E4C" w14:paraId="76866377" w14:textId="77777777" w:rsidTr="001839FA">
        <w:trPr>
          <w:jc w:val="center"/>
        </w:trPr>
        <w:tc>
          <w:tcPr>
            <w:tcW w:w="0" w:type="auto"/>
            <w:vAlign w:val="center"/>
          </w:tcPr>
          <w:p w14:paraId="67A43671" w14:textId="7E1AE8F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ABBV</w:t>
            </w:r>
          </w:p>
        </w:tc>
        <w:tc>
          <w:tcPr>
            <w:tcW w:w="0" w:type="auto"/>
            <w:vAlign w:val="center"/>
          </w:tcPr>
          <w:p w14:paraId="21C976DA" w14:textId="5BFC4119" w:rsidR="00D17A33" w:rsidRPr="00154E4C" w:rsidRDefault="00027608" w:rsidP="00D17A3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  <w:t>Amy</w:t>
            </w:r>
          </w:p>
        </w:tc>
        <w:tc>
          <w:tcPr>
            <w:tcW w:w="815" w:type="dxa"/>
            <w:vAlign w:val="center"/>
          </w:tcPr>
          <w:p w14:paraId="48E14EF4" w14:textId="344345F8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98.05</w:t>
            </w:r>
          </w:p>
        </w:tc>
        <w:tc>
          <w:tcPr>
            <w:tcW w:w="1108" w:type="dxa"/>
            <w:vAlign w:val="center"/>
          </w:tcPr>
          <w:p w14:paraId="069EC49B" w14:textId="11FC9161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07/09/20</w:t>
            </w:r>
          </w:p>
        </w:tc>
        <w:tc>
          <w:tcPr>
            <w:tcW w:w="0" w:type="auto"/>
            <w:vAlign w:val="center"/>
          </w:tcPr>
          <w:p w14:paraId="13E9193F" w14:textId="5F98844E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96.83</w:t>
            </w:r>
          </w:p>
        </w:tc>
        <w:tc>
          <w:tcPr>
            <w:tcW w:w="0" w:type="auto"/>
            <w:vAlign w:val="center"/>
          </w:tcPr>
          <w:p w14:paraId="707A3C6F" w14:textId="0106D5E5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0" w:type="auto"/>
            <w:vAlign w:val="center"/>
          </w:tcPr>
          <w:p w14:paraId="1C6D5128" w14:textId="46329EFB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14:paraId="28CF357D" w14:textId="6B7B6D03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31-Jul-20</w:t>
            </w:r>
          </w:p>
        </w:tc>
        <w:tc>
          <w:tcPr>
            <w:tcW w:w="0" w:type="auto"/>
            <w:vAlign w:val="center"/>
          </w:tcPr>
          <w:p w14:paraId="3043BA9A" w14:textId="221D67BB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315A76A5" w14:textId="0AF3F4DF" w:rsidR="00D17A33" w:rsidRPr="00154E4C" w:rsidRDefault="00D17A33" w:rsidP="00D17A33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D14A04" w:rsidRPr="00D14A04" w14:paraId="77B6BF80" w14:textId="77777777" w:rsidTr="001839FA">
        <w:trPr>
          <w:jc w:val="center"/>
        </w:trPr>
        <w:tc>
          <w:tcPr>
            <w:tcW w:w="0" w:type="auto"/>
            <w:vAlign w:val="center"/>
          </w:tcPr>
          <w:p w14:paraId="3A7C4E9D" w14:textId="77777777" w:rsidR="00D17A33" w:rsidRPr="00027608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ANCUF</w:t>
            </w:r>
          </w:p>
        </w:tc>
        <w:tc>
          <w:tcPr>
            <w:tcW w:w="0" w:type="auto"/>
            <w:vAlign w:val="center"/>
          </w:tcPr>
          <w:p w14:paraId="4DE0BC0B" w14:textId="77777777" w:rsidR="00D17A33" w:rsidRPr="00027608" w:rsidRDefault="00D17A33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iCs/>
                <w:sz w:val="16"/>
                <w:szCs w:val="16"/>
              </w:rPr>
              <w:t>Pat</w:t>
            </w:r>
          </w:p>
        </w:tc>
        <w:tc>
          <w:tcPr>
            <w:tcW w:w="815" w:type="dxa"/>
            <w:vAlign w:val="center"/>
          </w:tcPr>
          <w:p w14:paraId="419AD820" w14:textId="70689469" w:rsidR="00D17A33" w:rsidRPr="00027608" w:rsidRDefault="00D17A33" w:rsidP="00D17A33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61.92</w:t>
            </w:r>
          </w:p>
        </w:tc>
        <w:tc>
          <w:tcPr>
            <w:tcW w:w="1108" w:type="dxa"/>
            <w:vAlign w:val="center"/>
          </w:tcPr>
          <w:p w14:paraId="6C620D34" w14:textId="77777777" w:rsidR="00D17A33" w:rsidRPr="00027608" w:rsidRDefault="00D17A33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iCs/>
                <w:sz w:val="16"/>
                <w:szCs w:val="16"/>
              </w:rPr>
              <w:t>08/15/19</w:t>
            </w:r>
          </w:p>
        </w:tc>
        <w:tc>
          <w:tcPr>
            <w:tcW w:w="0" w:type="auto"/>
            <w:vAlign w:val="center"/>
          </w:tcPr>
          <w:p w14:paraId="08A16BF8" w14:textId="3FE90544" w:rsidR="00D17A33" w:rsidRPr="00027608" w:rsidRDefault="00D17A33" w:rsidP="00D17A33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</w:rPr>
              <w:t>33.65</w:t>
            </w:r>
          </w:p>
        </w:tc>
        <w:tc>
          <w:tcPr>
            <w:tcW w:w="0" w:type="auto"/>
            <w:vAlign w:val="center"/>
          </w:tcPr>
          <w:p w14:paraId="33B7C81C" w14:textId="3A4604BC" w:rsidR="00D17A33" w:rsidRPr="00027608" w:rsidRDefault="00D17A33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</w:rPr>
              <w:t>5.2%</w:t>
            </w:r>
          </w:p>
        </w:tc>
        <w:tc>
          <w:tcPr>
            <w:tcW w:w="0" w:type="auto"/>
            <w:vAlign w:val="center"/>
          </w:tcPr>
          <w:p w14:paraId="2C84AACC" w14:textId="5A486BA4" w:rsidR="00D17A33" w:rsidRPr="00027608" w:rsidRDefault="00D17A33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789918AA" w14:textId="42B01E8C" w:rsidR="00D17A33" w:rsidRPr="00027608" w:rsidRDefault="00576CAD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04-Aug-20</w:t>
            </w:r>
          </w:p>
        </w:tc>
        <w:tc>
          <w:tcPr>
            <w:tcW w:w="0" w:type="auto"/>
            <w:vAlign w:val="center"/>
          </w:tcPr>
          <w:p w14:paraId="245439AE" w14:textId="10CFED67" w:rsidR="00D17A33" w:rsidRPr="00027608" w:rsidRDefault="00D17A33" w:rsidP="00D17A33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565FAE" w:rsidRPr="0002760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E358EDE" w14:textId="77777777" w:rsidR="00D17A33" w:rsidRPr="00027608" w:rsidRDefault="00D17A33" w:rsidP="00D17A3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iCs/>
                <w:sz w:val="16"/>
                <w:szCs w:val="16"/>
              </w:rPr>
              <w:t>May, Aug, Dec, Feb</w:t>
            </w:r>
          </w:p>
        </w:tc>
      </w:tr>
      <w:tr w:rsidR="00D17A33" w:rsidRPr="00154E4C" w14:paraId="3EE40AEA" w14:textId="77777777" w:rsidTr="001839FA">
        <w:trPr>
          <w:trHeight w:val="40"/>
          <w:jc w:val="center"/>
        </w:trPr>
        <w:tc>
          <w:tcPr>
            <w:tcW w:w="0" w:type="auto"/>
            <w:vAlign w:val="center"/>
          </w:tcPr>
          <w:p w14:paraId="243A5A06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GOOG</w:t>
            </w:r>
          </w:p>
        </w:tc>
        <w:tc>
          <w:tcPr>
            <w:tcW w:w="0" w:type="auto"/>
            <w:vAlign w:val="center"/>
          </w:tcPr>
          <w:p w14:paraId="6D9C57B7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815" w:type="dxa"/>
            <w:vAlign w:val="center"/>
          </w:tcPr>
          <w:p w14:paraId="21DE08E2" w14:textId="1FC5D6A4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797.08</w:t>
            </w:r>
          </w:p>
        </w:tc>
        <w:tc>
          <w:tcPr>
            <w:tcW w:w="1108" w:type="dxa"/>
            <w:vAlign w:val="center"/>
          </w:tcPr>
          <w:p w14:paraId="5E079440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12/16/16</w:t>
            </w:r>
          </w:p>
        </w:tc>
        <w:tc>
          <w:tcPr>
            <w:tcW w:w="0" w:type="auto"/>
            <w:vAlign w:val="center"/>
          </w:tcPr>
          <w:p w14:paraId="63CF4665" w14:textId="4CB6D6CB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1,541.74</w:t>
            </w:r>
          </w:p>
        </w:tc>
        <w:tc>
          <w:tcPr>
            <w:tcW w:w="0" w:type="auto"/>
            <w:vAlign w:val="center"/>
          </w:tcPr>
          <w:p w14:paraId="21CC8728" w14:textId="7D3AA8D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0" w:type="auto"/>
            <w:vAlign w:val="center"/>
          </w:tcPr>
          <w:p w14:paraId="3E69C3AD" w14:textId="36E09DF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A849BE3" w14:textId="5C846CB6" w:rsidR="00D17A33" w:rsidRPr="00154E4C" w:rsidRDefault="00D17A33" w:rsidP="00C243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Oct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C5D3DB6" w14:textId="11B0FBB8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30155ED6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D17A33" w:rsidRPr="00154E4C" w14:paraId="49BCFA63" w14:textId="77777777" w:rsidTr="001839FA">
        <w:trPr>
          <w:jc w:val="center"/>
        </w:trPr>
        <w:tc>
          <w:tcPr>
            <w:tcW w:w="0" w:type="auto"/>
            <w:vAlign w:val="center"/>
          </w:tcPr>
          <w:p w14:paraId="48918B98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AAPL</w:t>
            </w:r>
          </w:p>
        </w:tc>
        <w:tc>
          <w:tcPr>
            <w:tcW w:w="0" w:type="auto"/>
            <w:vAlign w:val="center"/>
          </w:tcPr>
          <w:p w14:paraId="12A51978" w14:textId="6A993C0A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Kathy</w:t>
            </w:r>
          </w:p>
        </w:tc>
        <w:tc>
          <w:tcPr>
            <w:tcW w:w="815" w:type="dxa"/>
            <w:vAlign w:val="center"/>
          </w:tcPr>
          <w:p w14:paraId="62CEBC80" w14:textId="1DE14E9C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48.71</w:t>
            </w:r>
          </w:p>
        </w:tc>
        <w:tc>
          <w:tcPr>
            <w:tcW w:w="1108" w:type="dxa"/>
            <w:vAlign w:val="center"/>
          </w:tcPr>
          <w:p w14:paraId="30226546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06/21/11</w:t>
            </w:r>
          </w:p>
        </w:tc>
        <w:tc>
          <w:tcPr>
            <w:tcW w:w="0" w:type="auto"/>
            <w:vAlign w:val="center"/>
          </w:tcPr>
          <w:p w14:paraId="3294020D" w14:textId="472CA898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383.68</w:t>
            </w:r>
          </w:p>
        </w:tc>
        <w:tc>
          <w:tcPr>
            <w:tcW w:w="0" w:type="auto"/>
            <w:vAlign w:val="center"/>
          </w:tcPr>
          <w:p w14:paraId="731F7B78" w14:textId="377C4C3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0" w:type="auto"/>
            <w:vAlign w:val="center"/>
          </w:tcPr>
          <w:p w14:paraId="19D0A721" w14:textId="7964D836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74A84C44" w14:textId="7DE575D9" w:rsidR="00D17A33" w:rsidRPr="00154E4C" w:rsidRDefault="00D17A33" w:rsidP="00C243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2435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C2435A">
              <w:rPr>
                <w:rFonts w:asciiTheme="minorHAnsi" w:hAnsiTheme="minorHAnsi" w:cstheme="minorHAnsi"/>
                <w:sz w:val="16"/>
                <w:szCs w:val="16"/>
              </w:rPr>
              <w:t>Jul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782BE24" w14:textId="35FAC112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6DC56B94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Feb, May, Nov, Feb</w:t>
            </w:r>
          </w:p>
        </w:tc>
      </w:tr>
      <w:tr w:rsidR="00D17A33" w:rsidRPr="00154E4C" w14:paraId="2C2AD835" w14:textId="77777777" w:rsidTr="001839FA">
        <w:trPr>
          <w:jc w:val="center"/>
        </w:trPr>
        <w:tc>
          <w:tcPr>
            <w:tcW w:w="0" w:type="auto"/>
            <w:vAlign w:val="center"/>
          </w:tcPr>
          <w:p w14:paraId="73F19601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BRK.B</w:t>
            </w:r>
          </w:p>
        </w:tc>
        <w:tc>
          <w:tcPr>
            <w:tcW w:w="0" w:type="auto"/>
            <w:vAlign w:val="center"/>
          </w:tcPr>
          <w:p w14:paraId="1614A0AC" w14:textId="18DD11ED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Gladys</w:t>
            </w:r>
          </w:p>
        </w:tc>
        <w:tc>
          <w:tcPr>
            <w:tcW w:w="815" w:type="dxa"/>
            <w:vAlign w:val="center"/>
          </w:tcPr>
          <w:p w14:paraId="3064A726" w14:textId="6114D5B1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125.33</w:t>
            </w:r>
          </w:p>
        </w:tc>
        <w:tc>
          <w:tcPr>
            <w:tcW w:w="1108" w:type="dxa"/>
            <w:vAlign w:val="center"/>
          </w:tcPr>
          <w:p w14:paraId="206D2D48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01/16/14</w:t>
            </w:r>
          </w:p>
        </w:tc>
        <w:tc>
          <w:tcPr>
            <w:tcW w:w="0" w:type="auto"/>
            <w:vAlign w:val="center"/>
          </w:tcPr>
          <w:p w14:paraId="176ED9C8" w14:textId="75DE5503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182.9</w:t>
            </w:r>
          </w:p>
        </w:tc>
        <w:tc>
          <w:tcPr>
            <w:tcW w:w="0" w:type="auto"/>
            <w:vAlign w:val="center"/>
          </w:tcPr>
          <w:p w14:paraId="12A59118" w14:textId="240613FA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0" w:type="auto"/>
            <w:vAlign w:val="center"/>
          </w:tcPr>
          <w:p w14:paraId="74BC0B79" w14:textId="7FFEF05C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6D112547" w14:textId="06687259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-Aug-20</w:t>
            </w:r>
          </w:p>
        </w:tc>
        <w:tc>
          <w:tcPr>
            <w:tcW w:w="0" w:type="auto"/>
            <w:vAlign w:val="center"/>
          </w:tcPr>
          <w:p w14:paraId="45D00C9A" w14:textId="3B721F32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59805ADE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D17A33" w:rsidRPr="00154E4C" w14:paraId="4189DB81" w14:textId="77777777" w:rsidTr="00C078D5">
        <w:trPr>
          <w:jc w:val="center"/>
        </w:trPr>
        <w:tc>
          <w:tcPr>
            <w:tcW w:w="0" w:type="auto"/>
          </w:tcPr>
          <w:p w14:paraId="04F4E00D" w14:textId="5E15C9B8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BSTC</w:t>
            </w:r>
          </w:p>
        </w:tc>
        <w:tc>
          <w:tcPr>
            <w:tcW w:w="0" w:type="auto"/>
          </w:tcPr>
          <w:p w14:paraId="4144078C" w14:textId="69C051BB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Sheryl</w:t>
            </w:r>
          </w:p>
        </w:tc>
        <w:tc>
          <w:tcPr>
            <w:tcW w:w="815" w:type="dxa"/>
          </w:tcPr>
          <w:p w14:paraId="69E261DE" w14:textId="64B9F79A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50.10</w:t>
            </w:r>
          </w:p>
        </w:tc>
        <w:tc>
          <w:tcPr>
            <w:tcW w:w="1108" w:type="dxa"/>
          </w:tcPr>
          <w:p w14:paraId="2CD183F3" w14:textId="6D95CDD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10/10/19</w:t>
            </w:r>
          </w:p>
        </w:tc>
        <w:tc>
          <w:tcPr>
            <w:tcW w:w="0" w:type="auto"/>
            <w:vAlign w:val="center"/>
          </w:tcPr>
          <w:p w14:paraId="7CBFD63E" w14:textId="066D74E1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63.21</w:t>
            </w:r>
          </w:p>
        </w:tc>
        <w:tc>
          <w:tcPr>
            <w:tcW w:w="0" w:type="auto"/>
            <w:vAlign w:val="center"/>
          </w:tcPr>
          <w:p w14:paraId="668B07F9" w14:textId="64AC107D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0" w:type="auto"/>
            <w:vAlign w:val="center"/>
          </w:tcPr>
          <w:p w14:paraId="7EBDDA9B" w14:textId="32023877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14:paraId="547875E0" w14:textId="4849B428" w:rsidR="00D17A33" w:rsidRPr="00154E4C" w:rsidRDefault="00C2435A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</w:t>
            </w:r>
            <w:r w:rsidR="00D17A3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-Aug-20</w:t>
            </w:r>
          </w:p>
        </w:tc>
        <w:tc>
          <w:tcPr>
            <w:tcW w:w="0" w:type="auto"/>
            <w:vAlign w:val="center"/>
          </w:tcPr>
          <w:p w14:paraId="2C4EFF19" w14:textId="3A4147FB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D9D2B0F" w14:textId="66FF9F5A" w:rsidR="00D17A33" w:rsidRPr="00154E4C" w:rsidRDefault="00D17A33" w:rsidP="00D17A3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May, Aug, Dec, Feb</w:t>
            </w:r>
          </w:p>
        </w:tc>
      </w:tr>
      <w:tr w:rsidR="00565FAE" w:rsidRPr="00565FAE" w14:paraId="0BADD8C9" w14:textId="77777777" w:rsidTr="00C078D5">
        <w:trPr>
          <w:jc w:val="center"/>
        </w:trPr>
        <w:tc>
          <w:tcPr>
            <w:tcW w:w="0" w:type="auto"/>
          </w:tcPr>
          <w:p w14:paraId="44860F9F" w14:textId="2F8CD982" w:rsidR="00D17A33" w:rsidRPr="00C2435A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612313C" w14:textId="4981256B" w:rsidR="00D17A33" w:rsidRPr="00C2435A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5" w:type="dxa"/>
          </w:tcPr>
          <w:p w14:paraId="62F7A8E8" w14:textId="3B3503ED" w:rsidR="00D17A33" w:rsidRPr="00C2435A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8" w:type="dxa"/>
          </w:tcPr>
          <w:p w14:paraId="5217AB84" w14:textId="5B252623" w:rsidR="00D17A33" w:rsidRPr="00C2435A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1BBB9F" w14:textId="54FF246C" w:rsidR="00D17A33" w:rsidRPr="00C2435A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F9A657" w14:textId="12E7784F" w:rsidR="00D17A33" w:rsidRPr="00C2435A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6F40E1" w14:textId="626334A5" w:rsidR="00D17A33" w:rsidRPr="00C2435A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18D972" w14:textId="5A17E96F" w:rsidR="00D17A33" w:rsidRPr="00C2435A" w:rsidRDefault="00D17A33" w:rsidP="00C243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5ABEDC" w14:textId="6AEE7C00" w:rsidR="00D17A33" w:rsidRPr="00565FAE" w:rsidRDefault="00D17A33" w:rsidP="00D17A3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58CC9A" w14:textId="7A8567DD" w:rsidR="00D17A33" w:rsidRPr="00565FAE" w:rsidRDefault="00D17A33" w:rsidP="00D17A3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17A33" w:rsidRPr="00154E4C" w14:paraId="4272D488" w14:textId="77777777" w:rsidTr="001839FA">
        <w:trPr>
          <w:jc w:val="center"/>
        </w:trPr>
        <w:tc>
          <w:tcPr>
            <w:tcW w:w="0" w:type="auto"/>
            <w:vAlign w:val="center"/>
          </w:tcPr>
          <w:p w14:paraId="0C5947A9" w14:textId="350FB1B1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vAlign w:val="center"/>
          </w:tcPr>
          <w:p w14:paraId="581ED0E5" w14:textId="1B0545A2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vAlign w:val="center"/>
          </w:tcPr>
          <w:p w14:paraId="3140CB5E" w14:textId="2BB91DFB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vAlign w:val="center"/>
          </w:tcPr>
          <w:p w14:paraId="1DC69763" w14:textId="6C3CC931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vAlign w:val="center"/>
          </w:tcPr>
          <w:p w14:paraId="66AA7A51" w14:textId="737FC085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722.03</w:t>
            </w:r>
          </w:p>
        </w:tc>
        <w:tc>
          <w:tcPr>
            <w:tcW w:w="0" w:type="auto"/>
            <w:vAlign w:val="center"/>
          </w:tcPr>
          <w:p w14:paraId="35236EF6" w14:textId="2257675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0" w:type="auto"/>
            <w:vAlign w:val="center"/>
          </w:tcPr>
          <w:p w14:paraId="2B649EAC" w14:textId="61120A74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E27F504" w14:textId="4F752EBA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  <w:r w:rsidR="00576CA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576CA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Oct</w:t>
            </w: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6DEF6DB2" w14:textId="796D775A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</w:t>
            </w:r>
            <w:r w:rsidR="00565F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5503E4D" w14:textId="7BE97A8F" w:rsidR="00D17A33" w:rsidRPr="00154E4C" w:rsidRDefault="00D17A33" w:rsidP="00D17A3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D17A33" w:rsidRPr="00154E4C" w14:paraId="7A053A38" w14:textId="77777777" w:rsidTr="001839FA">
        <w:trPr>
          <w:jc w:val="center"/>
        </w:trPr>
        <w:tc>
          <w:tcPr>
            <w:tcW w:w="0" w:type="auto"/>
            <w:vAlign w:val="center"/>
          </w:tcPr>
          <w:p w14:paraId="06CA9184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GNTX</w:t>
            </w:r>
          </w:p>
        </w:tc>
        <w:tc>
          <w:tcPr>
            <w:tcW w:w="0" w:type="auto"/>
            <w:vAlign w:val="center"/>
          </w:tcPr>
          <w:p w14:paraId="243D25E2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Wilbert</w:t>
            </w:r>
          </w:p>
        </w:tc>
        <w:tc>
          <w:tcPr>
            <w:tcW w:w="815" w:type="dxa"/>
            <w:vAlign w:val="center"/>
          </w:tcPr>
          <w:p w14:paraId="58E31A07" w14:textId="78E06060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14.80</w:t>
            </w:r>
          </w:p>
        </w:tc>
        <w:tc>
          <w:tcPr>
            <w:tcW w:w="1108" w:type="dxa"/>
            <w:vAlign w:val="center"/>
          </w:tcPr>
          <w:p w14:paraId="1B6A70F6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06/19/14</w:t>
            </w:r>
          </w:p>
        </w:tc>
        <w:tc>
          <w:tcPr>
            <w:tcW w:w="0" w:type="auto"/>
            <w:vAlign w:val="center"/>
          </w:tcPr>
          <w:p w14:paraId="5D7C4EDA" w14:textId="181A45D8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0" w:type="auto"/>
            <w:vAlign w:val="center"/>
          </w:tcPr>
          <w:p w14:paraId="04E9F7F6" w14:textId="27881C0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0" w:type="auto"/>
            <w:vAlign w:val="center"/>
          </w:tcPr>
          <w:p w14:paraId="1EDA4806" w14:textId="7161AD82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14:paraId="3709D5BD" w14:textId="51C1D2C9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65FA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-JUL-20</w:t>
            </w:r>
          </w:p>
        </w:tc>
        <w:tc>
          <w:tcPr>
            <w:tcW w:w="0" w:type="auto"/>
            <w:vAlign w:val="center"/>
          </w:tcPr>
          <w:p w14:paraId="0F59790C" w14:textId="67317BCE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76857C7A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D17A33" w:rsidRPr="00154E4C" w14:paraId="47965137" w14:textId="77777777" w:rsidTr="00060CBD">
        <w:trPr>
          <w:jc w:val="center"/>
        </w:trPr>
        <w:tc>
          <w:tcPr>
            <w:tcW w:w="0" w:type="auto"/>
            <w:vAlign w:val="center"/>
          </w:tcPr>
          <w:p w14:paraId="0F297532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vAlign w:val="center"/>
          </w:tcPr>
          <w:p w14:paraId="4481C43F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vAlign w:val="center"/>
          </w:tcPr>
          <w:p w14:paraId="415290DC" w14:textId="77777777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25.44</w:t>
            </w:r>
          </w:p>
        </w:tc>
        <w:tc>
          <w:tcPr>
            <w:tcW w:w="1108" w:type="dxa"/>
            <w:vAlign w:val="center"/>
          </w:tcPr>
          <w:p w14:paraId="178C17F3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0" w:type="auto"/>
            <w:vAlign w:val="center"/>
          </w:tcPr>
          <w:p w14:paraId="747F7873" w14:textId="793CBD59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213.67</w:t>
            </w:r>
          </w:p>
        </w:tc>
        <w:tc>
          <w:tcPr>
            <w:tcW w:w="0" w:type="auto"/>
            <w:vAlign w:val="center"/>
          </w:tcPr>
          <w:p w14:paraId="593CD64D" w14:textId="751369D1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0" w:type="auto"/>
            <w:vAlign w:val="center"/>
          </w:tcPr>
          <w:p w14:paraId="0DF63200" w14:textId="7A1AB9CC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8E8DE4D" w14:textId="6317BB6B" w:rsidR="00D17A33" w:rsidRPr="00154E4C" w:rsidRDefault="00565FAE" w:rsidP="00C243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Oct</w:t>
            </w:r>
            <w:r w:rsidR="00D17A33" w:rsidRPr="00154E4C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58A50192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</w:tc>
        <w:tc>
          <w:tcPr>
            <w:tcW w:w="0" w:type="auto"/>
            <w:vAlign w:val="center"/>
          </w:tcPr>
          <w:p w14:paraId="4D3A1076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D17A33" w:rsidRPr="00154E4C" w14:paraId="76E62ACA" w14:textId="77777777" w:rsidTr="001839FA">
        <w:trPr>
          <w:jc w:val="center"/>
        </w:trPr>
        <w:tc>
          <w:tcPr>
            <w:tcW w:w="0" w:type="auto"/>
            <w:vAlign w:val="center"/>
          </w:tcPr>
          <w:p w14:paraId="39F7030D" w14:textId="770478D2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MNST</w:t>
            </w:r>
          </w:p>
        </w:tc>
        <w:tc>
          <w:tcPr>
            <w:tcW w:w="0" w:type="auto"/>
            <w:vAlign w:val="center"/>
          </w:tcPr>
          <w:p w14:paraId="543CD673" w14:textId="63BA388E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Kent</w:t>
            </w:r>
          </w:p>
        </w:tc>
        <w:tc>
          <w:tcPr>
            <w:tcW w:w="815" w:type="dxa"/>
            <w:vAlign w:val="center"/>
          </w:tcPr>
          <w:p w14:paraId="3CFBD39E" w14:textId="7390D6C9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59.80</w:t>
            </w:r>
          </w:p>
        </w:tc>
        <w:tc>
          <w:tcPr>
            <w:tcW w:w="1108" w:type="dxa"/>
            <w:vAlign w:val="center"/>
          </w:tcPr>
          <w:p w14:paraId="23F22613" w14:textId="4DBC6522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03/13/2020</w:t>
            </w:r>
          </w:p>
        </w:tc>
        <w:tc>
          <w:tcPr>
            <w:tcW w:w="0" w:type="auto"/>
            <w:vAlign w:val="center"/>
          </w:tcPr>
          <w:p w14:paraId="1BAB59EE" w14:textId="66C72711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71.65</w:t>
            </w:r>
          </w:p>
        </w:tc>
        <w:tc>
          <w:tcPr>
            <w:tcW w:w="0" w:type="auto"/>
            <w:vAlign w:val="center"/>
          </w:tcPr>
          <w:p w14:paraId="17A5CDB0" w14:textId="22FDC2A3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0" w:type="auto"/>
            <w:vAlign w:val="center"/>
          </w:tcPr>
          <w:p w14:paraId="4ED0A4B0" w14:textId="0F1E1CC9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14:paraId="354AE647" w14:textId="2524BE75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10-AUG-20</w:t>
            </w:r>
          </w:p>
        </w:tc>
        <w:tc>
          <w:tcPr>
            <w:tcW w:w="0" w:type="auto"/>
            <w:vAlign w:val="center"/>
          </w:tcPr>
          <w:p w14:paraId="157112AE" w14:textId="110F718F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565FA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DE64B5E" w14:textId="694E44ED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65FAE" w:rsidRPr="00565FAE" w14:paraId="4C8508CF" w14:textId="77777777" w:rsidTr="001839FA">
        <w:trPr>
          <w:trHeight w:val="125"/>
          <w:jc w:val="center"/>
        </w:trPr>
        <w:tc>
          <w:tcPr>
            <w:tcW w:w="0" w:type="auto"/>
            <w:vAlign w:val="center"/>
          </w:tcPr>
          <w:p w14:paraId="4185043E" w14:textId="1EB18A4D" w:rsidR="00D17A33" w:rsidRPr="003371B2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NVEE</w:t>
            </w:r>
          </w:p>
        </w:tc>
        <w:tc>
          <w:tcPr>
            <w:tcW w:w="0" w:type="auto"/>
            <w:vAlign w:val="center"/>
          </w:tcPr>
          <w:p w14:paraId="2700931F" w14:textId="4BDC4F88" w:rsidR="00D17A33" w:rsidRPr="003371B2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Paul</w:t>
            </w:r>
          </w:p>
        </w:tc>
        <w:tc>
          <w:tcPr>
            <w:tcW w:w="815" w:type="dxa"/>
            <w:vAlign w:val="center"/>
          </w:tcPr>
          <w:p w14:paraId="5C18C282" w14:textId="27C5A394" w:rsidR="00D17A33" w:rsidRPr="003371B2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53.84</w:t>
            </w:r>
          </w:p>
        </w:tc>
        <w:tc>
          <w:tcPr>
            <w:tcW w:w="1108" w:type="dxa"/>
            <w:vAlign w:val="center"/>
          </w:tcPr>
          <w:p w14:paraId="3CEAE28C" w14:textId="26E22155" w:rsidR="00D17A33" w:rsidRPr="003371B2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01/10/20</w:t>
            </w:r>
          </w:p>
        </w:tc>
        <w:tc>
          <w:tcPr>
            <w:tcW w:w="0" w:type="auto"/>
            <w:vAlign w:val="center"/>
          </w:tcPr>
          <w:p w14:paraId="1A01EF3A" w14:textId="0C3FB4A3" w:rsidR="00D17A33" w:rsidRPr="003371B2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49.3</w:t>
            </w:r>
          </w:p>
        </w:tc>
        <w:tc>
          <w:tcPr>
            <w:tcW w:w="0" w:type="auto"/>
            <w:vAlign w:val="center"/>
          </w:tcPr>
          <w:p w14:paraId="574339CB" w14:textId="0A7962DD" w:rsidR="00D17A33" w:rsidRPr="003371B2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2.4%</w:t>
            </w:r>
          </w:p>
        </w:tc>
        <w:tc>
          <w:tcPr>
            <w:tcW w:w="0" w:type="auto"/>
            <w:vAlign w:val="center"/>
          </w:tcPr>
          <w:p w14:paraId="490D03A7" w14:textId="52BF9915" w:rsidR="00D17A33" w:rsidRPr="003371B2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1351EE85" w14:textId="7D72281A" w:rsidR="00D17A33" w:rsidRPr="003371B2" w:rsidRDefault="00576CAD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="00D17A33" w:rsidRPr="003371B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Aug</w:t>
            </w:r>
            <w:r w:rsidR="00D17A33" w:rsidRPr="003371B2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4938176B" w14:textId="6F4B4080" w:rsidR="00D17A33" w:rsidRPr="003371B2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Q1</w:t>
            </w:r>
          </w:p>
        </w:tc>
        <w:tc>
          <w:tcPr>
            <w:tcW w:w="0" w:type="auto"/>
            <w:vAlign w:val="center"/>
          </w:tcPr>
          <w:p w14:paraId="07E73911" w14:textId="722F402B" w:rsidR="00D17A33" w:rsidRPr="003371B2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71B2">
              <w:rPr>
                <w:rFonts w:asciiTheme="minorHAnsi" w:hAnsiTheme="minorHAnsi" w:cstheme="minorHAnsi"/>
                <w:sz w:val="16"/>
                <w:szCs w:val="16"/>
              </w:rPr>
              <w:t>Apr, Jun, Sep, Dec</w:t>
            </w:r>
          </w:p>
        </w:tc>
      </w:tr>
      <w:tr w:rsidR="00D17A33" w:rsidRPr="00154E4C" w14:paraId="49395BF5" w14:textId="77777777" w:rsidTr="001839FA">
        <w:trPr>
          <w:jc w:val="center"/>
        </w:trPr>
        <w:tc>
          <w:tcPr>
            <w:tcW w:w="0" w:type="auto"/>
            <w:vAlign w:val="center"/>
          </w:tcPr>
          <w:p w14:paraId="38F557DF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TROW</w:t>
            </w:r>
          </w:p>
        </w:tc>
        <w:tc>
          <w:tcPr>
            <w:tcW w:w="0" w:type="auto"/>
            <w:vAlign w:val="center"/>
          </w:tcPr>
          <w:p w14:paraId="3738E672" w14:textId="421E4735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Arvind</w:t>
            </w:r>
          </w:p>
        </w:tc>
        <w:tc>
          <w:tcPr>
            <w:tcW w:w="815" w:type="dxa"/>
            <w:vAlign w:val="center"/>
          </w:tcPr>
          <w:p w14:paraId="1CED747D" w14:textId="724F6C51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70.69</w:t>
            </w:r>
          </w:p>
        </w:tc>
        <w:tc>
          <w:tcPr>
            <w:tcW w:w="1108" w:type="dxa"/>
            <w:vAlign w:val="center"/>
          </w:tcPr>
          <w:p w14:paraId="5C9AA76A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09/19/13</w:t>
            </w:r>
          </w:p>
        </w:tc>
        <w:tc>
          <w:tcPr>
            <w:tcW w:w="0" w:type="auto"/>
            <w:vAlign w:val="center"/>
          </w:tcPr>
          <w:p w14:paraId="34157CB4" w14:textId="6CCDB1A7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127.27</w:t>
            </w:r>
          </w:p>
        </w:tc>
        <w:tc>
          <w:tcPr>
            <w:tcW w:w="0" w:type="auto"/>
            <w:vAlign w:val="center"/>
          </w:tcPr>
          <w:p w14:paraId="375DCE26" w14:textId="3CF5A415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0" w:type="auto"/>
            <w:vAlign w:val="center"/>
          </w:tcPr>
          <w:p w14:paraId="24BA4998" w14:textId="657CB69F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14:paraId="19A61221" w14:textId="4838CE64" w:rsidR="00D17A33" w:rsidRPr="00154E4C" w:rsidRDefault="00D17A33" w:rsidP="00C243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2435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-JUL-20</w:t>
            </w:r>
          </w:p>
        </w:tc>
        <w:tc>
          <w:tcPr>
            <w:tcW w:w="0" w:type="auto"/>
            <w:vAlign w:val="center"/>
          </w:tcPr>
          <w:p w14:paraId="13124186" w14:textId="6AC0D0B4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vAlign w:val="center"/>
          </w:tcPr>
          <w:p w14:paraId="3E687ABC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D17A33" w:rsidRPr="00154E4C" w14:paraId="4D37EA38" w14:textId="77777777" w:rsidTr="001839FA">
        <w:trPr>
          <w:jc w:val="center"/>
        </w:trPr>
        <w:tc>
          <w:tcPr>
            <w:tcW w:w="0" w:type="auto"/>
            <w:vAlign w:val="center"/>
          </w:tcPr>
          <w:p w14:paraId="1310AFC8" w14:textId="77777777" w:rsidR="00D17A33" w:rsidRPr="00154E4C" w:rsidRDefault="00D17A33" w:rsidP="00D17A3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023446A1" w14:textId="25D314C4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6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Jo</w:t>
            </w:r>
            <w:r w:rsidR="00027608" w:rsidRPr="000276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/ Jonath</w:t>
            </w:r>
            <w:r w:rsidR="000276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</w:t>
            </w:r>
            <w:r w:rsidR="00027608" w:rsidRPr="000276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815" w:type="dxa"/>
            <w:vAlign w:val="center"/>
          </w:tcPr>
          <w:p w14:paraId="2A864018" w14:textId="213AE728" w:rsidR="00D17A33" w:rsidRPr="00154E4C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63.51</w:t>
            </w:r>
          </w:p>
        </w:tc>
        <w:tc>
          <w:tcPr>
            <w:tcW w:w="1108" w:type="dxa"/>
            <w:vAlign w:val="center"/>
          </w:tcPr>
          <w:p w14:paraId="7B5595A2" w14:textId="77777777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09/18/14</w:t>
            </w:r>
          </w:p>
        </w:tc>
        <w:tc>
          <w:tcPr>
            <w:tcW w:w="0" w:type="auto"/>
            <w:vAlign w:val="center"/>
          </w:tcPr>
          <w:p w14:paraId="1D5A728C" w14:textId="7264C983" w:rsidR="00D17A33" w:rsidRPr="003B07CF" w:rsidRDefault="00D17A33" w:rsidP="00D17A3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192.55</w:t>
            </w:r>
          </w:p>
        </w:tc>
        <w:tc>
          <w:tcPr>
            <w:tcW w:w="0" w:type="auto"/>
            <w:vAlign w:val="center"/>
          </w:tcPr>
          <w:p w14:paraId="31E920BA" w14:textId="5FB7D6EC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0" w:type="auto"/>
            <w:vAlign w:val="center"/>
          </w:tcPr>
          <w:p w14:paraId="57995E6E" w14:textId="795E6BB6" w:rsidR="00D17A33" w:rsidRPr="003B07CF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07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1C87A27" w14:textId="332EE341" w:rsidR="00D17A33" w:rsidRPr="00154E4C" w:rsidRDefault="00D17A33" w:rsidP="00C243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576CAD">
              <w:rPr>
                <w:rFonts w:asciiTheme="minorHAnsi" w:hAnsiTheme="minorHAnsi" w:cstheme="minorHAnsi"/>
                <w:sz w:val="16"/>
                <w:szCs w:val="16"/>
              </w:rPr>
              <w:t>Oct</w:t>
            </w: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</w:p>
        </w:tc>
        <w:tc>
          <w:tcPr>
            <w:tcW w:w="0" w:type="auto"/>
            <w:vAlign w:val="center"/>
          </w:tcPr>
          <w:p w14:paraId="7302FBFD" w14:textId="21BDEDF1" w:rsidR="00D17A33" w:rsidRPr="00154E4C" w:rsidRDefault="00D17A33" w:rsidP="00D17A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vAlign w:val="center"/>
          </w:tcPr>
          <w:p w14:paraId="548A003C" w14:textId="77777777" w:rsidR="00D17A33" w:rsidRPr="00154E4C" w:rsidRDefault="00D17A33" w:rsidP="00D17A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4E4C">
              <w:rPr>
                <w:rFonts w:asciiTheme="minorHAnsi" w:hAnsiTheme="minorHAnsi" w:cstheme="minorHAnsi"/>
                <w:sz w:val="16"/>
                <w:szCs w:val="16"/>
              </w:rPr>
              <w:t>Feb, May, Aug, Nov</w:t>
            </w:r>
          </w:p>
        </w:tc>
      </w:tr>
    </w:tbl>
    <w:p w14:paraId="041AC413" w14:textId="77777777" w:rsidR="007D48EB" w:rsidRPr="00154E4C" w:rsidRDefault="007D48EB" w:rsidP="00C25F07">
      <w:pPr>
        <w:rPr>
          <w:rFonts w:asciiTheme="minorHAnsi" w:hAnsiTheme="minorHAnsi" w:cstheme="minorHAnsi"/>
          <w:sz w:val="18"/>
          <w:szCs w:val="18"/>
        </w:rPr>
      </w:pPr>
    </w:p>
    <w:p w14:paraId="55925EAF" w14:textId="173336AC" w:rsidR="003743E9" w:rsidRPr="00154E4C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154E4C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154E4C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154E4C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154E4C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154E4C">
        <w:rPr>
          <w:rFonts w:asciiTheme="minorHAnsi" w:hAnsiTheme="minorHAnsi" w:cstheme="minorHAnsi"/>
          <w:sz w:val="22"/>
          <w:szCs w:val="22"/>
        </w:rPr>
        <w:t>earnings date</w:t>
      </w:r>
      <w:r w:rsidRPr="00154E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0EEEDB73" w:rsidR="003A737D" w:rsidRPr="00154E4C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sz w:val="22"/>
          <w:szCs w:val="22"/>
        </w:rPr>
        <w:t>Nasdaq.com and Yahoo.com/finance list the earnings dates. E.G., s</w:t>
      </w:r>
      <w:r w:rsidR="004E0E70" w:rsidRPr="00154E4C">
        <w:rPr>
          <w:rFonts w:asciiTheme="minorHAnsi" w:hAnsiTheme="minorHAnsi" w:cstheme="minorHAnsi"/>
          <w:sz w:val="22"/>
          <w:szCs w:val="22"/>
        </w:rPr>
        <w:t xml:space="preserve">ee: </w:t>
      </w:r>
      <w:hyperlink r:id="rId9" w:history="1">
        <w:r w:rsidR="004E0E70" w:rsidRPr="00154E4C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154E4C">
        <w:rPr>
          <w:rFonts w:asciiTheme="minorHAnsi" w:hAnsiTheme="minorHAnsi" w:cstheme="minorHAnsi"/>
          <w:sz w:val="22"/>
          <w:szCs w:val="22"/>
        </w:rPr>
        <w:t>.</w:t>
      </w:r>
      <w:r w:rsidR="007A6B7F" w:rsidRPr="00154E4C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0" w:history="1">
        <w:r w:rsidR="007A6B7F" w:rsidRPr="00154E4C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>
        <w:rPr>
          <w:rStyle w:val="Hyperlink"/>
          <w:rFonts w:asciiTheme="minorHAnsi" w:hAnsiTheme="minorHAnsi" w:cstheme="minorHAnsi"/>
        </w:rPr>
        <w:t xml:space="preserve">. </w:t>
      </w:r>
      <w:proofErr w:type="gramStart"/>
      <w:r w:rsidR="00C2435A">
        <w:rPr>
          <w:rStyle w:val="Hyperlink"/>
          <w:rFonts w:asciiTheme="minorHAnsi" w:hAnsiTheme="minorHAnsi" w:cstheme="minorHAnsi"/>
        </w:rPr>
        <w:t xml:space="preserve">Or </w:t>
      </w:r>
      <w:r w:rsidR="00C2435A">
        <w:t xml:space="preserve"> </w:t>
      </w:r>
      <w:proofErr w:type="gramEnd"/>
      <w:hyperlink r:id="rId11" w:history="1">
        <w:r w:rsidR="00C2435A">
          <w:rPr>
            <w:rStyle w:val="Hyperlink"/>
          </w:rPr>
          <w:t>https://www.marketbeat.com/stocks</w:t>
        </w:r>
      </w:hyperlink>
    </w:p>
    <w:p w14:paraId="28D2D4F9" w14:textId="77777777" w:rsidR="00F46CBC" w:rsidRPr="00565FAE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1874AD87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8C61ED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8C61ED">
        <w:rPr>
          <w:rFonts w:asciiTheme="minorHAnsi" w:hAnsiTheme="minorHAnsi" w:cstheme="minorHAnsi"/>
          <w:sz w:val="22"/>
          <w:szCs w:val="22"/>
        </w:rPr>
        <w:t>/Gladys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2"/>
      <w:footerReference w:type="default" r:id="rId13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010F" w14:textId="77777777" w:rsidR="00285638" w:rsidRDefault="00285638">
      <w:r>
        <w:separator/>
      </w:r>
    </w:p>
  </w:endnote>
  <w:endnote w:type="continuationSeparator" w:id="0">
    <w:p w14:paraId="4ED7AEA5" w14:textId="77777777" w:rsidR="00285638" w:rsidRDefault="0028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5F99" w14:textId="3A300870" w:rsidR="0022126E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9608CC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9608CC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22126E" w:rsidRDefault="00221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4F8" w14:textId="0AC5F697" w:rsidR="0022126E" w:rsidRPr="00E51476" w:rsidRDefault="0022126E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9608CC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9608CC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22126E" w:rsidRDefault="00221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F049" w14:textId="77777777" w:rsidR="00285638" w:rsidRDefault="00285638">
      <w:r>
        <w:separator/>
      </w:r>
    </w:p>
  </w:footnote>
  <w:footnote w:type="continuationSeparator" w:id="0">
    <w:p w14:paraId="2D7F97A1" w14:textId="77777777" w:rsidR="00285638" w:rsidRDefault="0028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C72FB"/>
    <w:multiLevelType w:val="hybridMultilevel"/>
    <w:tmpl w:val="11F8D550"/>
    <w:numStyleLink w:val="ImportedStyle1"/>
  </w:abstractNum>
  <w:abstractNum w:abstractNumId="14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17A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28"/>
  </w:num>
  <w:num w:numId="14">
    <w:abstractNumId w:val="20"/>
  </w:num>
  <w:num w:numId="15">
    <w:abstractNumId w:val="40"/>
  </w:num>
  <w:num w:numId="16">
    <w:abstractNumId w:val="15"/>
  </w:num>
  <w:num w:numId="17">
    <w:abstractNumId w:val="43"/>
  </w:num>
  <w:num w:numId="18">
    <w:abstractNumId w:val="11"/>
  </w:num>
  <w:num w:numId="19">
    <w:abstractNumId w:val="27"/>
  </w:num>
  <w:num w:numId="20">
    <w:abstractNumId w:val="31"/>
  </w:num>
  <w:num w:numId="21">
    <w:abstractNumId w:val="16"/>
  </w:num>
  <w:num w:numId="22">
    <w:abstractNumId w:val="36"/>
  </w:num>
  <w:num w:numId="23">
    <w:abstractNumId w:val="26"/>
  </w:num>
  <w:num w:numId="24">
    <w:abstractNumId w:val="46"/>
  </w:num>
  <w:num w:numId="25">
    <w:abstractNumId w:val="24"/>
  </w:num>
  <w:num w:numId="26">
    <w:abstractNumId w:val="34"/>
  </w:num>
  <w:num w:numId="27">
    <w:abstractNumId w:val="41"/>
  </w:num>
  <w:num w:numId="28">
    <w:abstractNumId w:val="23"/>
  </w:num>
  <w:num w:numId="29">
    <w:abstractNumId w:val="10"/>
  </w:num>
  <w:num w:numId="30">
    <w:abstractNumId w:val="37"/>
  </w:num>
  <w:num w:numId="31">
    <w:abstractNumId w:val="39"/>
  </w:num>
  <w:num w:numId="32">
    <w:abstractNumId w:val="18"/>
  </w:num>
  <w:num w:numId="33">
    <w:abstractNumId w:val="32"/>
  </w:num>
  <w:num w:numId="34">
    <w:abstractNumId w:val="21"/>
  </w:num>
  <w:num w:numId="3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17"/>
  </w:num>
  <w:num w:numId="39">
    <w:abstractNumId w:val="30"/>
  </w:num>
  <w:num w:numId="40">
    <w:abstractNumId w:val="29"/>
  </w:num>
  <w:num w:numId="41">
    <w:abstractNumId w:val="12"/>
  </w:num>
  <w:num w:numId="42">
    <w:abstractNumId w:val="14"/>
  </w:num>
  <w:num w:numId="43">
    <w:abstractNumId w:val="44"/>
  </w:num>
  <w:num w:numId="44">
    <w:abstractNumId w:val="19"/>
  </w:num>
  <w:num w:numId="45">
    <w:abstractNumId w:val="42"/>
  </w:num>
  <w:num w:numId="46">
    <w:abstractNumId w:val="45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3FB6"/>
    <w:rsid w:val="00015D0C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6C6A"/>
    <w:rsid w:val="000874FA"/>
    <w:rsid w:val="00090B92"/>
    <w:rsid w:val="00091526"/>
    <w:rsid w:val="000927D1"/>
    <w:rsid w:val="00092CD8"/>
    <w:rsid w:val="00094265"/>
    <w:rsid w:val="0009534C"/>
    <w:rsid w:val="000957A7"/>
    <w:rsid w:val="000975CB"/>
    <w:rsid w:val="000A12CE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56BD"/>
    <w:rsid w:val="000C6689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581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48E9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A48"/>
    <w:rsid w:val="002723A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D0F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133C"/>
    <w:rsid w:val="002C25B8"/>
    <w:rsid w:val="002C2F11"/>
    <w:rsid w:val="002C3502"/>
    <w:rsid w:val="002C4A75"/>
    <w:rsid w:val="002C58D2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5464"/>
    <w:rsid w:val="0033615E"/>
    <w:rsid w:val="00336D93"/>
    <w:rsid w:val="003371B2"/>
    <w:rsid w:val="003374CD"/>
    <w:rsid w:val="00337859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7E"/>
    <w:rsid w:val="003B07CF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5730"/>
    <w:rsid w:val="003C5C27"/>
    <w:rsid w:val="003C6272"/>
    <w:rsid w:val="003C6E2E"/>
    <w:rsid w:val="003C7554"/>
    <w:rsid w:val="003D0202"/>
    <w:rsid w:val="003D0230"/>
    <w:rsid w:val="003D0D62"/>
    <w:rsid w:val="003D0F20"/>
    <w:rsid w:val="003D128C"/>
    <w:rsid w:val="003D14DD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96D"/>
    <w:rsid w:val="00421617"/>
    <w:rsid w:val="004227C1"/>
    <w:rsid w:val="004230F0"/>
    <w:rsid w:val="00423128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D5D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69E7"/>
    <w:rsid w:val="004F6BA5"/>
    <w:rsid w:val="004F6CD1"/>
    <w:rsid w:val="004F6EC3"/>
    <w:rsid w:val="004F762C"/>
    <w:rsid w:val="00500F40"/>
    <w:rsid w:val="0050186E"/>
    <w:rsid w:val="00503F71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4C9"/>
    <w:rsid w:val="005570D9"/>
    <w:rsid w:val="005572DE"/>
    <w:rsid w:val="005606B6"/>
    <w:rsid w:val="00561781"/>
    <w:rsid w:val="005621E9"/>
    <w:rsid w:val="00564177"/>
    <w:rsid w:val="00564425"/>
    <w:rsid w:val="00564DFA"/>
    <w:rsid w:val="00565349"/>
    <w:rsid w:val="00565DE3"/>
    <w:rsid w:val="00565FAE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909"/>
    <w:rsid w:val="005A73EE"/>
    <w:rsid w:val="005A73FE"/>
    <w:rsid w:val="005B0A6B"/>
    <w:rsid w:val="005B0DA7"/>
    <w:rsid w:val="005B13B4"/>
    <w:rsid w:val="005B1E19"/>
    <w:rsid w:val="005B228F"/>
    <w:rsid w:val="005B3728"/>
    <w:rsid w:val="005B474B"/>
    <w:rsid w:val="005B4C70"/>
    <w:rsid w:val="005B5F9F"/>
    <w:rsid w:val="005B6342"/>
    <w:rsid w:val="005C0C02"/>
    <w:rsid w:val="005C2198"/>
    <w:rsid w:val="005C2944"/>
    <w:rsid w:val="005C299F"/>
    <w:rsid w:val="005C2F50"/>
    <w:rsid w:val="005C391D"/>
    <w:rsid w:val="005C3FF0"/>
    <w:rsid w:val="005C46CC"/>
    <w:rsid w:val="005C4E88"/>
    <w:rsid w:val="005C6043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2311"/>
    <w:rsid w:val="005E3548"/>
    <w:rsid w:val="005E41CF"/>
    <w:rsid w:val="005E5C17"/>
    <w:rsid w:val="005E5F70"/>
    <w:rsid w:val="005E62F5"/>
    <w:rsid w:val="005E73FE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1C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B44"/>
    <w:rsid w:val="0064456D"/>
    <w:rsid w:val="0064667A"/>
    <w:rsid w:val="00647113"/>
    <w:rsid w:val="00647254"/>
    <w:rsid w:val="00650612"/>
    <w:rsid w:val="00650EDE"/>
    <w:rsid w:val="00650FE2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AE0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215F"/>
    <w:rsid w:val="007B2BB5"/>
    <w:rsid w:val="007B3B96"/>
    <w:rsid w:val="007B45E1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BFE"/>
    <w:rsid w:val="007F4E00"/>
    <w:rsid w:val="007F55A2"/>
    <w:rsid w:val="007F58EA"/>
    <w:rsid w:val="007F5EED"/>
    <w:rsid w:val="007F624B"/>
    <w:rsid w:val="007F7026"/>
    <w:rsid w:val="008007C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1424"/>
    <w:rsid w:val="008114EE"/>
    <w:rsid w:val="00812076"/>
    <w:rsid w:val="00812510"/>
    <w:rsid w:val="008131A1"/>
    <w:rsid w:val="00813BB6"/>
    <w:rsid w:val="008143A2"/>
    <w:rsid w:val="00815187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92B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16ED"/>
    <w:rsid w:val="009036D6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8CC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3C6"/>
    <w:rsid w:val="00976E93"/>
    <w:rsid w:val="00976FC1"/>
    <w:rsid w:val="00977644"/>
    <w:rsid w:val="00980600"/>
    <w:rsid w:val="00980CE0"/>
    <w:rsid w:val="00981FFA"/>
    <w:rsid w:val="00982002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070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E5F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5ADF"/>
    <w:rsid w:val="00A95E3C"/>
    <w:rsid w:val="00A965B3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CE0"/>
    <w:rsid w:val="00AD3585"/>
    <w:rsid w:val="00AD469A"/>
    <w:rsid w:val="00AD4896"/>
    <w:rsid w:val="00AD4968"/>
    <w:rsid w:val="00AD5F2B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14FA"/>
    <w:rsid w:val="00B32173"/>
    <w:rsid w:val="00B34C57"/>
    <w:rsid w:val="00B35A8F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1385"/>
    <w:rsid w:val="00BD1DC3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7402"/>
    <w:rsid w:val="00BF7E6C"/>
    <w:rsid w:val="00C005A6"/>
    <w:rsid w:val="00C00D13"/>
    <w:rsid w:val="00C01167"/>
    <w:rsid w:val="00C01BE2"/>
    <w:rsid w:val="00C02CFE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251A"/>
    <w:rsid w:val="00C13900"/>
    <w:rsid w:val="00C14FFA"/>
    <w:rsid w:val="00C15E7F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CC4"/>
    <w:rsid w:val="00C22E9E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25"/>
    <w:rsid w:val="00C72686"/>
    <w:rsid w:val="00C73006"/>
    <w:rsid w:val="00C73702"/>
    <w:rsid w:val="00C7469E"/>
    <w:rsid w:val="00C74A10"/>
    <w:rsid w:val="00C74F17"/>
    <w:rsid w:val="00C75DA0"/>
    <w:rsid w:val="00C76890"/>
    <w:rsid w:val="00C80537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156B"/>
    <w:rsid w:val="00D22C69"/>
    <w:rsid w:val="00D24386"/>
    <w:rsid w:val="00D246E3"/>
    <w:rsid w:val="00D27DA2"/>
    <w:rsid w:val="00D27DDC"/>
    <w:rsid w:val="00D305F5"/>
    <w:rsid w:val="00D3115E"/>
    <w:rsid w:val="00D31EE7"/>
    <w:rsid w:val="00D32144"/>
    <w:rsid w:val="00D321D3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314F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FF0"/>
    <w:rsid w:val="00DF24C2"/>
    <w:rsid w:val="00DF472B"/>
    <w:rsid w:val="00DF5576"/>
    <w:rsid w:val="00DF66EC"/>
    <w:rsid w:val="00DF6858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046"/>
    <w:rsid w:val="00E35153"/>
    <w:rsid w:val="00E3596C"/>
    <w:rsid w:val="00E35B68"/>
    <w:rsid w:val="00E3668B"/>
    <w:rsid w:val="00E372E9"/>
    <w:rsid w:val="00E37D36"/>
    <w:rsid w:val="00E37EEA"/>
    <w:rsid w:val="00E4092F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7061"/>
    <w:rsid w:val="00EA7557"/>
    <w:rsid w:val="00EA770C"/>
    <w:rsid w:val="00EA7E7F"/>
    <w:rsid w:val="00EB06F5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72A3"/>
    <w:rsid w:val="00F97746"/>
    <w:rsid w:val="00F97E00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B03"/>
    <w:rsid w:val="00FF5BB6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46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540599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ketbeat.com/stoc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yahoo.com/calendar/e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daq.com/market-activity/ear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C3E2-DF1E-430D-BC27-68D99BB3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3</cp:revision>
  <cp:lastPrinted>2020-07-19T01:50:00Z</cp:lastPrinted>
  <dcterms:created xsi:type="dcterms:W3CDTF">2020-09-06T00:15:00Z</dcterms:created>
  <dcterms:modified xsi:type="dcterms:W3CDTF">2020-09-06T00:18:00Z</dcterms:modified>
</cp:coreProperties>
</file>