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4D34" w:rsidRPr="004E4D34" w:rsidRDefault="004E4D34" w:rsidP="004E4D34">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4E4D34">
        <w:rPr>
          <w:rFonts w:ascii="Times New Roman" w:eastAsia="Times New Roman" w:hAnsi="Times New Roman" w:cs="Times New Roman"/>
          <w:b/>
          <w:bCs/>
          <w:kern w:val="36"/>
          <w:sz w:val="48"/>
          <w:szCs w:val="48"/>
        </w:rPr>
        <w:t>Cerner Corp</w:t>
      </w:r>
    </w:p>
    <w:p w:rsidR="004E4D34" w:rsidRPr="004E4D34" w:rsidRDefault="004E4D34" w:rsidP="004E4D34">
      <w:pPr>
        <w:spacing w:after="0" w:line="240" w:lineRule="auto"/>
        <w:rPr>
          <w:rFonts w:ascii="Times New Roman" w:eastAsia="Times New Roman" w:hAnsi="Times New Roman" w:cs="Times New Roman"/>
          <w:sz w:val="24"/>
          <w:szCs w:val="24"/>
        </w:rPr>
      </w:pPr>
      <w:r w:rsidRPr="004E4D34">
        <w:rPr>
          <w:rFonts w:ascii="Times New Roman" w:eastAsia="Times New Roman" w:hAnsi="Times New Roman" w:cs="Times New Roman"/>
          <w:sz w:val="24"/>
          <w:szCs w:val="24"/>
        </w:rPr>
        <w:t xml:space="preserve"> CERN </w:t>
      </w:r>
    </w:p>
    <w:p w:rsidR="004E4D34" w:rsidRPr="004E4D34" w:rsidRDefault="00E60E78" w:rsidP="004E4D34">
      <w:pPr>
        <w:spacing w:beforeAutospacing="1" w:after="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feb</w:t>
      </w:r>
    </w:p>
    <w:p w:rsidR="004E4D34" w:rsidRPr="004E4D34" w:rsidRDefault="004E4D34" w:rsidP="004E4D34">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4E4D34">
        <w:rPr>
          <w:rFonts w:ascii="Times New Roman" w:eastAsia="Times New Roman" w:hAnsi="Times New Roman" w:cs="Times New Roman"/>
          <w:b/>
          <w:bCs/>
          <w:kern w:val="36"/>
          <w:sz w:val="48"/>
          <w:szCs w:val="48"/>
        </w:rPr>
        <w:t xml:space="preserve">Cerner should benefit greatly from the increasing spending on healthcare infrastructure. </w:t>
      </w:r>
    </w:p>
    <w:p w:rsidR="004E4D34" w:rsidRPr="004E4D34" w:rsidRDefault="004E4D34" w:rsidP="004E4D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742950" cy="742950"/>
            <wp:effectExtent l="19050" t="0" r="0" b="0"/>
            <wp:docPr id="1" name="Picture 1" descr="http://im.mstar.com/im/78x78/authorid8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mstar.com/im/78x78/authorid835.jpg"/>
                    <pic:cNvPicPr>
                      <a:picLocks noChangeAspect="1" noChangeArrowheads="1"/>
                    </pic:cNvPicPr>
                  </pic:nvPicPr>
                  <pic:blipFill>
                    <a:blip r:embed="rId5" cstate="print"/>
                    <a:srcRect/>
                    <a:stretch>
                      <a:fillRect/>
                    </a:stretch>
                  </pic:blipFill>
                  <pic:spPr bwMode="auto">
                    <a:xfrm>
                      <a:off x="0" y="0"/>
                      <a:ext cx="742950" cy="742950"/>
                    </a:xfrm>
                    <a:prstGeom prst="rect">
                      <a:avLst/>
                    </a:prstGeom>
                    <a:noFill/>
                    <a:ln w="9525">
                      <a:noFill/>
                      <a:miter lim="800000"/>
                      <a:headEnd/>
                      <a:tailEnd/>
                    </a:ln>
                  </pic:spPr>
                </pic:pic>
              </a:graphicData>
            </a:graphic>
          </wp:inline>
        </w:drawing>
      </w:r>
    </w:p>
    <w:p w:rsidR="004E4D34" w:rsidRPr="004E4D34" w:rsidRDefault="004E4D34" w:rsidP="004E4D34">
      <w:pPr>
        <w:spacing w:before="100" w:beforeAutospacing="1" w:after="100" w:afterAutospacing="1" w:line="240" w:lineRule="auto"/>
        <w:outlineLvl w:val="4"/>
        <w:rPr>
          <w:rFonts w:ascii="Times New Roman" w:eastAsia="Times New Roman" w:hAnsi="Times New Roman" w:cs="Times New Roman"/>
          <w:b/>
          <w:bCs/>
          <w:sz w:val="20"/>
          <w:szCs w:val="20"/>
        </w:rPr>
      </w:pPr>
      <w:proofErr w:type="gramStart"/>
      <w:r w:rsidRPr="004E4D34">
        <w:rPr>
          <w:rFonts w:ascii="Times New Roman" w:eastAsia="Times New Roman" w:hAnsi="Times New Roman" w:cs="Times New Roman"/>
          <w:b/>
          <w:bCs/>
          <w:sz w:val="20"/>
          <w:szCs w:val="20"/>
        </w:rPr>
        <w:t>by</w:t>
      </w:r>
      <w:proofErr w:type="gramEnd"/>
      <w:r w:rsidRPr="004E4D34">
        <w:rPr>
          <w:rFonts w:ascii="Times New Roman" w:eastAsia="Times New Roman" w:hAnsi="Times New Roman" w:cs="Times New Roman"/>
          <w:b/>
          <w:bCs/>
          <w:sz w:val="20"/>
          <w:szCs w:val="20"/>
        </w:rPr>
        <w:t xml:space="preserve"> </w:t>
      </w:r>
      <w:hyperlink r:id="rId6" w:history="1">
        <w:r w:rsidRPr="004E4D34">
          <w:rPr>
            <w:rFonts w:ascii="Times New Roman" w:eastAsia="Times New Roman" w:hAnsi="Times New Roman" w:cs="Times New Roman"/>
            <w:b/>
            <w:bCs/>
            <w:color w:val="0000FF"/>
            <w:sz w:val="20"/>
            <w:szCs w:val="20"/>
            <w:u w:val="single"/>
          </w:rPr>
          <w:t xml:space="preserve">Vishnu </w:t>
        </w:r>
        <w:proofErr w:type="spellStart"/>
        <w:r w:rsidRPr="004E4D34">
          <w:rPr>
            <w:rFonts w:ascii="Times New Roman" w:eastAsia="Times New Roman" w:hAnsi="Times New Roman" w:cs="Times New Roman"/>
            <w:b/>
            <w:bCs/>
            <w:color w:val="0000FF"/>
            <w:sz w:val="20"/>
            <w:szCs w:val="20"/>
            <w:u w:val="single"/>
          </w:rPr>
          <w:t>Lekraj</w:t>
        </w:r>
        <w:proofErr w:type="spellEnd"/>
      </w:hyperlink>
      <w:r w:rsidRPr="004E4D34">
        <w:rPr>
          <w:rFonts w:ascii="Times New Roman" w:eastAsia="Times New Roman" w:hAnsi="Times New Roman" w:cs="Times New Roman"/>
          <w:b/>
          <w:bCs/>
          <w:sz w:val="20"/>
          <w:szCs w:val="20"/>
        </w:rPr>
        <w:t xml:space="preserve"> </w:t>
      </w:r>
    </w:p>
    <w:p w:rsidR="004E4D34" w:rsidRPr="004E4D34" w:rsidRDefault="004E4D34" w:rsidP="004E4D34">
      <w:pPr>
        <w:spacing w:after="0" w:line="240" w:lineRule="auto"/>
        <w:rPr>
          <w:rFonts w:ascii="Times New Roman" w:eastAsia="Times New Roman" w:hAnsi="Times New Roman" w:cs="Times New Roman"/>
          <w:sz w:val="15"/>
          <w:szCs w:val="15"/>
        </w:rPr>
      </w:pPr>
      <w:r w:rsidRPr="004E4D34">
        <w:rPr>
          <w:rFonts w:ascii="Times New Roman" w:eastAsia="Times New Roman" w:hAnsi="Times New Roman" w:cs="Times New Roman"/>
          <w:sz w:val="15"/>
          <w:szCs w:val="15"/>
        </w:rPr>
        <w:t xml:space="preserve">Senior Equity Analyst </w:t>
      </w:r>
    </w:p>
    <w:p w:rsidR="004E4D34" w:rsidRPr="004E4D34" w:rsidRDefault="004E4D34" w:rsidP="004E4D34">
      <w:pPr>
        <w:spacing w:after="0" w:line="240" w:lineRule="auto"/>
        <w:rPr>
          <w:rFonts w:ascii="Times New Roman" w:eastAsia="Times New Roman" w:hAnsi="Times New Roman" w:cs="Times New Roman"/>
          <w:sz w:val="24"/>
          <w:szCs w:val="24"/>
        </w:rPr>
      </w:pPr>
      <w:r w:rsidRPr="004E4D34">
        <w:rPr>
          <w:rFonts w:ascii="Times New Roman" w:eastAsia="Times New Roman" w:hAnsi="Times New Roman" w:cs="Times New Roman"/>
          <w:sz w:val="24"/>
          <w:szCs w:val="24"/>
        </w:rPr>
        <w:t xml:space="preserve">Authors can be reached at </w:t>
      </w:r>
      <w:hyperlink r:id="rId7" w:history="1">
        <w:r w:rsidRPr="004E4D34">
          <w:rPr>
            <w:rFonts w:ascii="Times New Roman" w:eastAsia="Times New Roman" w:hAnsi="Times New Roman" w:cs="Times New Roman"/>
            <w:color w:val="0000FF"/>
            <w:sz w:val="24"/>
            <w:szCs w:val="24"/>
            <w:u w:val="single"/>
          </w:rPr>
          <w:t>Analyst Feedback</w:t>
        </w:r>
      </w:hyperlink>
      <w:r w:rsidRPr="004E4D34">
        <w:rPr>
          <w:rFonts w:ascii="Times New Roman" w:eastAsia="Times New Roman" w:hAnsi="Times New Roman" w:cs="Times New Roman"/>
          <w:sz w:val="24"/>
          <w:szCs w:val="24"/>
        </w:rPr>
        <w:t xml:space="preserve"> </w:t>
      </w:r>
    </w:p>
    <w:p w:rsidR="004E4D34" w:rsidRPr="004E4D34" w:rsidRDefault="004E4D34" w:rsidP="004E4D34">
      <w:pPr>
        <w:spacing w:after="0" w:line="240" w:lineRule="auto"/>
        <w:rPr>
          <w:rFonts w:ascii="Times New Roman" w:eastAsia="Times New Roman" w:hAnsi="Times New Roman" w:cs="Times New Roman"/>
          <w:sz w:val="24"/>
          <w:szCs w:val="24"/>
        </w:rPr>
      </w:pPr>
      <w:r w:rsidRPr="004E4D34">
        <w:rPr>
          <w:rFonts w:ascii="Times New Roman" w:eastAsia="Times New Roman" w:hAnsi="Times New Roman" w:cs="Times New Roman"/>
          <w:sz w:val="24"/>
          <w:szCs w:val="24"/>
        </w:rPr>
        <w:t xml:space="preserve">Morningstar's </w:t>
      </w:r>
      <w:hyperlink r:id="rId8" w:anchor="EditorialPolicy')" w:history="1">
        <w:r w:rsidRPr="004E4D34">
          <w:rPr>
            <w:rFonts w:ascii="Times New Roman" w:eastAsia="Times New Roman" w:hAnsi="Times New Roman" w:cs="Times New Roman"/>
            <w:color w:val="0000FF"/>
            <w:sz w:val="24"/>
            <w:szCs w:val="24"/>
            <w:u w:val="single"/>
          </w:rPr>
          <w:t>Editorial Policies</w:t>
        </w:r>
      </w:hyperlink>
      <w:r w:rsidRPr="004E4D34">
        <w:rPr>
          <w:rFonts w:ascii="Times New Roman" w:eastAsia="Times New Roman" w:hAnsi="Times New Roman" w:cs="Times New Roman"/>
          <w:sz w:val="24"/>
          <w:szCs w:val="24"/>
        </w:rPr>
        <w:t xml:space="preserve"> </w:t>
      </w:r>
    </w:p>
    <w:p w:rsidR="004E4D34" w:rsidRPr="004E4D34" w:rsidRDefault="004E4D34" w:rsidP="004E4D34">
      <w:pPr>
        <w:spacing w:before="100" w:beforeAutospacing="1" w:after="100" w:afterAutospacing="1" w:line="240" w:lineRule="auto"/>
        <w:outlineLvl w:val="5"/>
        <w:rPr>
          <w:rFonts w:ascii="Times New Roman" w:eastAsia="Times New Roman" w:hAnsi="Times New Roman" w:cs="Times New Roman"/>
          <w:b/>
          <w:bCs/>
          <w:sz w:val="15"/>
          <w:szCs w:val="15"/>
        </w:rPr>
      </w:pPr>
      <w:r w:rsidRPr="004E4D34">
        <w:rPr>
          <w:rFonts w:ascii="Times New Roman" w:eastAsia="Times New Roman" w:hAnsi="Times New Roman" w:cs="Times New Roman"/>
          <w:b/>
          <w:bCs/>
          <w:sz w:val="15"/>
          <w:szCs w:val="15"/>
        </w:rPr>
        <w:t>Analyst Note</w:t>
      </w:r>
    </w:p>
    <w:p w:rsidR="004E4D34" w:rsidRPr="004E4D34" w:rsidRDefault="004E4D34" w:rsidP="004E4D34">
      <w:pPr>
        <w:spacing w:after="0" w:line="240" w:lineRule="auto"/>
        <w:rPr>
          <w:rFonts w:ascii="Times New Roman" w:eastAsia="Times New Roman" w:hAnsi="Times New Roman" w:cs="Times New Roman"/>
          <w:sz w:val="24"/>
          <w:szCs w:val="24"/>
        </w:rPr>
      </w:pPr>
      <w:hyperlink r:id="rId9" w:history="1">
        <w:r w:rsidRPr="004E4D34">
          <w:rPr>
            <w:rFonts w:ascii="Times New Roman" w:eastAsia="Times New Roman" w:hAnsi="Times New Roman" w:cs="Times New Roman"/>
            <w:color w:val="0000FF"/>
            <w:sz w:val="24"/>
            <w:szCs w:val="24"/>
            <w:u w:val="single"/>
          </w:rPr>
          <w:t>Revenue Issues Continue for Cerner; Lowering Our Fair Value Estimate, but Shares Still Undervalued</w:t>
        </w:r>
      </w:hyperlink>
      <w:r w:rsidRPr="004E4D34">
        <w:rPr>
          <w:rFonts w:ascii="Times New Roman" w:eastAsia="Times New Roman" w:hAnsi="Times New Roman" w:cs="Times New Roman"/>
          <w:sz w:val="24"/>
          <w:szCs w:val="24"/>
        </w:rPr>
        <w:t xml:space="preserve"> </w:t>
      </w:r>
      <w:r w:rsidRPr="004E4D34">
        <w:rPr>
          <w:rFonts w:ascii="Times New Roman" w:eastAsia="Times New Roman" w:hAnsi="Times New Roman" w:cs="Times New Roman"/>
          <w:sz w:val="24"/>
          <w:szCs w:val="24"/>
        </w:rPr>
        <w:br/>
        <w:t xml:space="preserve">by Vishnu </w:t>
      </w:r>
      <w:proofErr w:type="spellStart"/>
      <w:r w:rsidRPr="004E4D34">
        <w:rPr>
          <w:rFonts w:ascii="Times New Roman" w:eastAsia="Times New Roman" w:hAnsi="Times New Roman" w:cs="Times New Roman"/>
          <w:sz w:val="24"/>
          <w:szCs w:val="24"/>
        </w:rPr>
        <w:t>Lekraj</w:t>
      </w:r>
      <w:proofErr w:type="spellEnd"/>
      <w:r w:rsidRPr="004E4D34">
        <w:rPr>
          <w:rFonts w:ascii="Times New Roman" w:eastAsia="Times New Roman" w:hAnsi="Times New Roman" w:cs="Times New Roman"/>
          <w:sz w:val="24"/>
          <w:szCs w:val="24"/>
        </w:rPr>
        <w:t xml:space="preserve">, 02/17/2016 </w:t>
      </w:r>
    </w:p>
    <w:p w:rsidR="004E4D34" w:rsidRPr="004E4D34" w:rsidRDefault="004E4D34" w:rsidP="004E4D34">
      <w:pPr>
        <w:spacing w:before="100" w:beforeAutospacing="1" w:after="100" w:afterAutospacing="1" w:line="240" w:lineRule="auto"/>
        <w:outlineLvl w:val="5"/>
        <w:rPr>
          <w:rFonts w:ascii="Times New Roman" w:eastAsia="Times New Roman" w:hAnsi="Times New Roman" w:cs="Times New Roman"/>
          <w:b/>
          <w:bCs/>
          <w:sz w:val="15"/>
          <w:szCs w:val="15"/>
        </w:rPr>
      </w:pPr>
      <w:r w:rsidRPr="004E4D34">
        <w:rPr>
          <w:rFonts w:ascii="Times New Roman" w:eastAsia="Times New Roman" w:hAnsi="Times New Roman" w:cs="Times New Roman"/>
          <w:b/>
          <w:bCs/>
          <w:sz w:val="15"/>
          <w:szCs w:val="15"/>
        </w:rPr>
        <w:t>Discuss</w:t>
      </w:r>
    </w:p>
    <w:p w:rsidR="004E4D34" w:rsidRPr="004E4D34" w:rsidRDefault="004E4D34" w:rsidP="004E4D34">
      <w:pPr>
        <w:spacing w:after="0" w:line="240" w:lineRule="auto"/>
        <w:rPr>
          <w:rFonts w:ascii="Times New Roman" w:eastAsia="Times New Roman" w:hAnsi="Times New Roman" w:cs="Times New Roman"/>
          <w:sz w:val="24"/>
          <w:szCs w:val="24"/>
        </w:rPr>
      </w:pPr>
      <w:hyperlink r:id="rId10" w:history="1">
        <w:r w:rsidRPr="004E4D34">
          <w:rPr>
            <w:rFonts w:ascii="Times New Roman" w:eastAsia="Times New Roman" w:hAnsi="Times New Roman" w:cs="Times New Roman"/>
            <w:color w:val="0000FF"/>
            <w:sz w:val="24"/>
            <w:szCs w:val="24"/>
            <w:u w:val="single"/>
          </w:rPr>
          <w:t>See what other investors are saying about CERN</w:t>
        </w:r>
      </w:hyperlink>
      <w:r w:rsidRPr="004E4D34">
        <w:rPr>
          <w:rFonts w:ascii="Times New Roman" w:eastAsia="Times New Roman" w:hAnsi="Times New Roman" w:cs="Times New Roman"/>
          <w:sz w:val="24"/>
          <w:szCs w:val="24"/>
        </w:rPr>
        <w:t xml:space="preserve"> </w:t>
      </w:r>
    </w:p>
    <w:p w:rsidR="004E4D34" w:rsidRPr="004E4D34" w:rsidRDefault="004E4D34" w:rsidP="004E4D34">
      <w:pPr>
        <w:spacing w:after="0" w:line="240" w:lineRule="auto"/>
        <w:rPr>
          <w:rFonts w:ascii="Times New Roman" w:eastAsia="Times New Roman" w:hAnsi="Times New Roman" w:cs="Times New Roman"/>
          <w:sz w:val="24"/>
          <w:szCs w:val="24"/>
        </w:rPr>
      </w:pPr>
      <w:r w:rsidRPr="004E4D34">
        <w:rPr>
          <w:rFonts w:ascii="Times New Roman" w:eastAsia="Times New Roman" w:hAnsi="Times New Roman" w:cs="Times New Roman"/>
          <w:b/>
          <w:bCs/>
          <w:sz w:val="24"/>
          <w:szCs w:val="24"/>
        </w:rPr>
        <w:t>Analyst Note</w:t>
      </w:r>
      <w:r w:rsidRPr="004E4D34">
        <w:rPr>
          <w:rFonts w:ascii="Times New Roman" w:eastAsia="Times New Roman" w:hAnsi="Times New Roman" w:cs="Times New Roman"/>
          <w:sz w:val="24"/>
          <w:szCs w:val="24"/>
        </w:rPr>
        <w:t xml:space="preserve"> 02/17/2016 </w:t>
      </w:r>
    </w:p>
    <w:p w:rsidR="004E4D34" w:rsidRPr="004E4D34" w:rsidRDefault="004E4D34" w:rsidP="004E4D34">
      <w:pPr>
        <w:spacing w:before="100" w:beforeAutospacing="1" w:after="100" w:afterAutospacing="1" w:line="240" w:lineRule="auto"/>
        <w:rPr>
          <w:rFonts w:ascii="Times New Roman" w:eastAsia="Times New Roman" w:hAnsi="Times New Roman" w:cs="Times New Roman"/>
          <w:sz w:val="24"/>
          <w:szCs w:val="24"/>
        </w:rPr>
      </w:pPr>
      <w:r w:rsidRPr="004E4D34">
        <w:rPr>
          <w:rFonts w:ascii="Times New Roman" w:eastAsia="Times New Roman" w:hAnsi="Times New Roman" w:cs="Times New Roman"/>
          <w:sz w:val="24"/>
          <w:szCs w:val="24"/>
        </w:rPr>
        <w:t xml:space="preserve">While Cerner met our expectations for its fourth quarter, we are lowering our fair value estimate to $63 per share from $69. Cerner’s management team once again missed its own revenue guidance, and we believe the firm is experiencing increasing pressure within its operating environment. Considering these latest developments, we now believe top-line growth will moderate slightly faster than we initially expected. Additionally, we believe competition from current and new healthcare IT players has accelerated given the growing need of providers to build in new reimbursement infrastructure and the prime opportunity this presents to the entire HCIT market. As a result, we believe Cerner will experience greater sales and research and development expenses over the medium term than we initially expected. These modeling adjustments lead to a reduction in our explicit forecast revenue growth and operating margin expansion assumptions. However, the firm’s stock </w:t>
      </w:r>
      <w:proofErr w:type="gramStart"/>
      <w:r w:rsidRPr="004E4D34">
        <w:rPr>
          <w:rFonts w:ascii="Times New Roman" w:eastAsia="Times New Roman" w:hAnsi="Times New Roman" w:cs="Times New Roman"/>
          <w:sz w:val="24"/>
          <w:szCs w:val="24"/>
        </w:rPr>
        <w:t xml:space="preserve">trades below our reduced fair vale estimate </w:t>
      </w:r>
      <w:r w:rsidRPr="004E4D34">
        <w:rPr>
          <w:rFonts w:ascii="Times New Roman" w:eastAsia="Times New Roman" w:hAnsi="Times New Roman" w:cs="Times New Roman"/>
          <w:sz w:val="24"/>
          <w:szCs w:val="24"/>
        </w:rPr>
        <w:lastRenderedPageBreak/>
        <w:t>and presents</w:t>
      </w:r>
      <w:proofErr w:type="gramEnd"/>
      <w:r w:rsidRPr="004E4D34">
        <w:rPr>
          <w:rFonts w:ascii="Times New Roman" w:eastAsia="Times New Roman" w:hAnsi="Times New Roman" w:cs="Times New Roman"/>
          <w:sz w:val="24"/>
          <w:szCs w:val="24"/>
        </w:rPr>
        <w:t xml:space="preserve"> investors an opportunity to acquire shares of a solid healthcare firm at a material discount.</w:t>
      </w:r>
    </w:p>
    <w:p w:rsidR="004E4D34" w:rsidRPr="004E4D34" w:rsidRDefault="004E4D34" w:rsidP="004E4D34">
      <w:pPr>
        <w:spacing w:after="0" w:line="240" w:lineRule="auto"/>
        <w:rPr>
          <w:rFonts w:ascii="Times New Roman" w:eastAsia="Times New Roman" w:hAnsi="Times New Roman" w:cs="Times New Roman"/>
          <w:sz w:val="24"/>
          <w:szCs w:val="24"/>
        </w:rPr>
      </w:pPr>
      <w:r w:rsidRPr="004E4D34">
        <w:rPr>
          <w:rFonts w:ascii="Times New Roman" w:eastAsia="Times New Roman" w:hAnsi="Times New Roman" w:cs="Times New Roman"/>
          <w:sz w:val="24"/>
          <w:szCs w:val="24"/>
        </w:rPr>
        <w:br/>
      </w:r>
      <w:r w:rsidRPr="004E4D34">
        <w:rPr>
          <w:rFonts w:ascii="Times New Roman" w:eastAsia="Times New Roman" w:hAnsi="Times New Roman" w:cs="Times New Roman"/>
          <w:b/>
          <w:bCs/>
          <w:sz w:val="24"/>
          <w:szCs w:val="24"/>
        </w:rPr>
        <w:t>Investment Thesis</w:t>
      </w:r>
      <w:r w:rsidRPr="004E4D34">
        <w:rPr>
          <w:rFonts w:ascii="Times New Roman" w:eastAsia="Times New Roman" w:hAnsi="Times New Roman" w:cs="Times New Roman"/>
          <w:sz w:val="24"/>
          <w:szCs w:val="24"/>
        </w:rPr>
        <w:t xml:space="preserve"> 08/06/2015 </w:t>
      </w:r>
    </w:p>
    <w:p w:rsidR="004E4D34" w:rsidRPr="004E4D34" w:rsidRDefault="004E4D34" w:rsidP="004E4D34">
      <w:pPr>
        <w:spacing w:after="0" w:line="240" w:lineRule="auto"/>
        <w:rPr>
          <w:rFonts w:ascii="Times New Roman" w:eastAsia="Times New Roman" w:hAnsi="Times New Roman" w:cs="Times New Roman"/>
          <w:sz w:val="24"/>
          <w:szCs w:val="24"/>
        </w:rPr>
      </w:pPr>
      <w:r w:rsidRPr="004E4D34">
        <w:rPr>
          <w:rFonts w:ascii="Times New Roman" w:eastAsia="Times New Roman" w:hAnsi="Times New Roman" w:cs="Times New Roman"/>
          <w:sz w:val="24"/>
          <w:szCs w:val="24"/>
        </w:rPr>
        <w:t xml:space="preserve">The outlook for the healthcare IT sector is solid, with the combination of Affordable Care Act regulation and changing reimbursement structures motivating providers (hospitals, physician offices, diagnostic centers, and integrated provider networks) to either revamp or build new IT infrastructure. With a highly trusted brand, leading software products, and high customer switching costs, we believe Cerner has a wide economic moat. The integrated and essential nature of the firm’s offerings makes it a key player within the healthcare IT market and will allow it to produce economic profits over a significant period. </w:t>
      </w:r>
      <w:r w:rsidRPr="004E4D34">
        <w:rPr>
          <w:rFonts w:ascii="Times New Roman" w:eastAsia="Times New Roman" w:hAnsi="Times New Roman" w:cs="Times New Roman"/>
          <w:sz w:val="24"/>
          <w:szCs w:val="24"/>
        </w:rPr>
        <w:br/>
      </w:r>
      <w:r w:rsidRPr="004E4D34">
        <w:rPr>
          <w:rFonts w:ascii="Times New Roman" w:eastAsia="Times New Roman" w:hAnsi="Times New Roman" w:cs="Times New Roman"/>
          <w:sz w:val="24"/>
          <w:szCs w:val="24"/>
        </w:rPr>
        <w:br/>
        <w:t xml:space="preserve">Strong customer switching costs is the bedrock of Cerner’s major competitive advantages. Long product implementation periods (18-24 months), highly integrated/customized software packages, and service contracts that last </w:t>
      </w:r>
      <w:proofErr w:type="spellStart"/>
      <w:r w:rsidRPr="004E4D34">
        <w:rPr>
          <w:rFonts w:ascii="Times New Roman" w:eastAsia="Times New Roman" w:hAnsi="Times New Roman" w:cs="Times New Roman"/>
          <w:sz w:val="24"/>
          <w:szCs w:val="24"/>
        </w:rPr>
        <w:t>years</w:t>
      </w:r>
      <w:proofErr w:type="spellEnd"/>
      <w:r w:rsidRPr="004E4D34">
        <w:rPr>
          <w:rFonts w:ascii="Times New Roman" w:eastAsia="Times New Roman" w:hAnsi="Times New Roman" w:cs="Times New Roman"/>
          <w:sz w:val="24"/>
          <w:szCs w:val="24"/>
        </w:rPr>
        <w:t xml:space="preserve"> lock major provider clients into the firm’s grasp. Boosting the long-term demand for Cerner’s services are several factors including the increasing complexity of Medicare reporting, strong growth of value-based payer reimbursement schemes, and electronic medical records regulatory compliance. The combination of these factors solidifies the firm’s long-term economic profitability. </w:t>
      </w:r>
      <w:r w:rsidRPr="004E4D34">
        <w:rPr>
          <w:rFonts w:ascii="Times New Roman" w:eastAsia="Times New Roman" w:hAnsi="Times New Roman" w:cs="Times New Roman"/>
          <w:sz w:val="24"/>
          <w:szCs w:val="24"/>
        </w:rPr>
        <w:br/>
      </w:r>
      <w:r w:rsidRPr="004E4D34">
        <w:rPr>
          <w:rFonts w:ascii="Times New Roman" w:eastAsia="Times New Roman" w:hAnsi="Times New Roman" w:cs="Times New Roman"/>
          <w:sz w:val="24"/>
          <w:szCs w:val="24"/>
        </w:rPr>
        <w:br/>
        <w:t xml:space="preserve">What differentiates Cerner from its competitors is a strategy of developing and building its product portfolio in-house. Many large healthcare IT servicers have acquired varying software manufacturers, which creates less continuity within their product lineups. This dynamic can give Cerner </w:t>
      </w:r>
      <w:proofErr w:type="gramStart"/>
      <w:r w:rsidRPr="004E4D34">
        <w:rPr>
          <w:rFonts w:ascii="Times New Roman" w:eastAsia="Times New Roman" w:hAnsi="Times New Roman" w:cs="Times New Roman"/>
          <w:sz w:val="24"/>
          <w:szCs w:val="24"/>
        </w:rPr>
        <w:t>an</w:t>
      </w:r>
      <w:proofErr w:type="gramEnd"/>
      <w:r w:rsidRPr="004E4D34">
        <w:rPr>
          <w:rFonts w:ascii="Times New Roman" w:eastAsia="Times New Roman" w:hAnsi="Times New Roman" w:cs="Times New Roman"/>
          <w:sz w:val="24"/>
          <w:szCs w:val="24"/>
        </w:rPr>
        <w:t xml:space="preserve"> material advantage when competing for new business as its products are relatively more integrated and seamless. </w:t>
      </w:r>
      <w:r w:rsidRPr="004E4D34">
        <w:rPr>
          <w:rFonts w:ascii="Times New Roman" w:eastAsia="Times New Roman" w:hAnsi="Times New Roman" w:cs="Times New Roman"/>
          <w:sz w:val="24"/>
          <w:szCs w:val="24"/>
        </w:rPr>
        <w:br/>
      </w:r>
      <w:r w:rsidRPr="004E4D34">
        <w:rPr>
          <w:rFonts w:ascii="Times New Roman" w:eastAsia="Times New Roman" w:hAnsi="Times New Roman" w:cs="Times New Roman"/>
          <w:sz w:val="24"/>
          <w:szCs w:val="24"/>
        </w:rPr>
        <w:br/>
        <w:t xml:space="preserve">While the need for EMR services will be a pillar for future industry growth, we believe predictive analytics and patient population management will also play major roles in driving healthcare IT demand as providers are increasingly required to produce more value for their services. As a leader in developing analytical products, Cerner is well positioned to benefit from this secular growth trend. </w:t>
      </w:r>
    </w:p>
    <w:p w:rsidR="00916FE1" w:rsidRDefault="00916FE1"/>
    <w:p w:rsidR="004E4D34" w:rsidRDefault="004E4D34" w:rsidP="004E4D34">
      <w:pPr>
        <w:pStyle w:val="Heading3"/>
      </w:pPr>
      <w:proofErr w:type="spellStart"/>
      <w:proofErr w:type="gramStart"/>
      <w:r>
        <w:t>orningstar's</w:t>
      </w:r>
      <w:proofErr w:type="spellEnd"/>
      <w:proofErr w:type="gramEnd"/>
      <w:r>
        <w:t xml:space="preserve"> Take </w:t>
      </w:r>
    </w:p>
    <w:p w:rsidR="004E4D34" w:rsidRDefault="004E4D34" w:rsidP="004E4D34">
      <w:pPr>
        <w:pStyle w:val="Heading2"/>
      </w:pPr>
      <w:r>
        <w:t>CERN</w:t>
      </w:r>
    </w:p>
    <w:p w:rsidR="004E4D34" w:rsidRDefault="004E4D34" w:rsidP="004E4D34">
      <w:pPr>
        <w:numPr>
          <w:ilvl w:val="0"/>
          <w:numId w:val="2"/>
        </w:numPr>
        <w:spacing w:before="100" w:beforeAutospacing="1" w:after="100" w:afterAutospacing="1" w:line="240" w:lineRule="auto"/>
      </w:pPr>
      <w:hyperlink r:id="rId11" w:history="1">
        <w:r>
          <w:rPr>
            <w:rStyle w:val="Hyperlink"/>
          </w:rPr>
          <w:t>Analyst</w:t>
        </w:r>
      </w:hyperlink>
      <w:r>
        <w:t xml:space="preserve"> </w:t>
      </w:r>
    </w:p>
    <w:p w:rsidR="004E4D34" w:rsidRDefault="004E4D34" w:rsidP="004E4D34">
      <w:pPr>
        <w:numPr>
          <w:ilvl w:val="0"/>
          <w:numId w:val="2"/>
        </w:numPr>
        <w:spacing w:before="100" w:beforeAutospacing="1" w:after="100" w:afterAutospacing="1" w:line="240" w:lineRule="auto"/>
      </w:pPr>
    </w:p>
    <w:tbl>
      <w:tblPr>
        <w:tblW w:w="0" w:type="auto"/>
        <w:tblCellSpacing w:w="15" w:type="dxa"/>
        <w:tblCellMar>
          <w:top w:w="15" w:type="dxa"/>
          <w:left w:w="15" w:type="dxa"/>
          <w:bottom w:w="15" w:type="dxa"/>
          <w:right w:w="15" w:type="dxa"/>
        </w:tblCellMar>
        <w:tblLook w:val="04A0"/>
      </w:tblPr>
      <w:tblGrid>
        <w:gridCol w:w="321"/>
        <w:gridCol w:w="2717"/>
        <w:gridCol w:w="3088"/>
        <w:gridCol w:w="3274"/>
        <w:gridCol w:w="50"/>
      </w:tblGrid>
      <w:tr w:rsidR="004E4D34" w:rsidTr="004E4D34">
        <w:trPr>
          <w:gridAfter w:val="1"/>
          <w:wAfter w:w="3376" w:type="dxa"/>
          <w:tblCellSpacing w:w="15" w:type="dxa"/>
        </w:trPr>
        <w:tc>
          <w:tcPr>
            <w:tcW w:w="1600" w:type="pct"/>
            <w:gridSpan w:val="2"/>
            <w:vAlign w:val="center"/>
            <w:hideMark/>
          </w:tcPr>
          <w:p w:rsidR="004E4D34" w:rsidRDefault="004E4D34">
            <w:pPr>
              <w:rPr>
                <w:sz w:val="24"/>
                <w:szCs w:val="24"/>
              </w:rPr>
            </w:pPr>
            <w:r>
              <w:t xml:space="preserve">Price 04-21-2016 </w:t>
            </w:r>
          </w:p>
        </w:tc>
        <w:tc>
          <w:tcPr>
            <w:tcW w:w="1650" w:type="pct"/>
            <w:vAlign w:val="center"/>
            <w:hideMark/>
          </w:tcPr>
          <w:p w:rsidR="004E4D34" w:rsidRDefault="004E4D34">
            <w:pPr>
              <w:rPr>
                <w:sz w:val="24"/>
                <w:szCs w:val="24"/>
              </w:rPr>
            </w:pPr>
            <w:r>
              <w:t>Fair Value Estimate</w:t>
            </w:r>
          </w:p>
        </w:tc>
        <w:tc>
          <w:tcPr>
            <w:tcW w:w="1750" w:type="pct"/>
            <w:vAlign w:val="center"/>
            <w:hideMark/>
          </w:tcPr>
          <w:p w:rsidR="004E4D34" w:rsidRDefault="004E4D34">
            <w:pPr>
              <w:rPr>
                <w:sz w:val="24"/>
                <w:szCs w:val="24"/>
              </w:rPr>
            </w:pPr>
            <w:r>
              <w:t xml:space="preserve">Uncertainty  </w:t>
            </w:r>
          </w:p>
        </w:tc>
      </w:tr>
      <w:tr w:rsidR="004E4D34" w:rsidTr="004E4D34">
        <w:trPr>
          <w:gridAfter w:val="1"/>
          <w:wAfter w:w="3376" w:type="dxa"/>
          <w:tblCellSpacing w:w="15" w:type="dxa"/>
        </w:trPr>
        <w:tc>
          <w:tcPr>
            <w:tcW w:w="0" w:type="auto"/>
            <w:gridSpan w:val="2"/>
            <w:vAlign w:val="center"/>
            <w:hideMark/>
          </w:tcPr>
          <w:p w:rsidR="004E4D34" w:rsidRDefault="004E4D34">
            <w:pPr>
              <w:rPr>
                <w:sz w:val="24"/>
                <w:szCs w:val="24"/>
              </w:rPr>
            </w:pPr>
            <w:r>
              <w:t>58.46 USD</w:t>
            </w:r>
          </w:p>
        </w:tc>
        <w:tc>
          <w:tcPr>
            <w:tcW w:w="0" w:type="auto"/>
            <w:vAlign w:val="center"/>
            <w:hideMark/>
          </w:tcPr>
          <w:p w:rsidR="004E4D34" w:rsidRDefault="004E4D34">
            <w:pPr>
              <w:rPr>
                <w:sz w:val="24"/>
                <w:szCs w:val="24"/>
              </w:rPr>
            </w:pPr>
            <w:r>
              <w:t>63 USD</w:t>
            </w:r>
          </w:p>
        </w:tc>
        <w:tc>
          <w:tcPr>
            <w:tcW w:w="0" w:type="auto"/>
            <w:vAlign w:val="center"/>
            <w:hideMark/>
          </w:tcPr>
          <w:p w:rsidR="004E4D34" w:rsidRDefault="004E4D34">
            <w:pPr>
              <w:rPr>
                <w:sz w:val="24"/>
                <w:szCs w:val="24"/>
              </w:rPr>
            </w:pPr>
            <w:r>
              <w:t>Medium</w:t>
            </w:r>
          </w:p>
        </w:tc>
      </w:tr>
      <w:tr w:rsidR="004E4D34" w:rsidTr="004E4D34">
        <w:trPr>
          <w:gridAfter w:val="1"/>
          <w:wAfter w:w="3376" w:type="dxa"/>
          <w:tblCellSpacing w:w="15" w:type="dxa"/>
        </w:trPr>
        <w:tc>
          <w:tcPr>
            <w:tcW w:w="0" w:type="auto"/>
            <w:gridSpan w:val="4"/>
            <w:vAlign w:val="center"/>
            <w:hideMark/>
          </w:tcPr>
          <w:p w:rsidR="004E4D34" w:rsidRDefault="004E4D34">
            <w:pPr>
              <w:rPr>
                <w:sz w:val="24"/>
                <w:szCs w:val="24"/>
              </w:rPr>
            </w:pPr>
          </w:p>
        </w:tc>
      </w:tr>
      <w:tr w:rsidR="004E4D34" w:rsidTr="004E4D34">
        <w:trPr>
          <w:gridAfter w:val="1"/>
          <w:wAfter w:w="3376" w:type="dxa"/>
          <w:tblCellSpacing w:w="15" w:type="dxa"/>
        </w:trPr>
        <w:tc>
          <w:tcPr>
            <w:tcW w:w="0" w:type="auto"/>
            <w:gridSpan w:val="2"/>
            <w:vAlign w:val="center"/>
            <w:hideMark/>
          </w:tcPr>
          <w:p w:rsidR="004E4D34" w:rsidRDefault="004E4D34">
            <w:pPr>
              <w:rPr>
                <w:sz w:val="24"/>
                <w:szCs w:val="24"/>
              </w:rPr>
            </w:pPr>
            <w:r>
              <w:lastRenderedPageBreak/>
              <w:t xml:space="preserve">Consider Buy  </w:t>
            </w:r>
          </w:p>
        </w:tc>
        <w:tc>
          <w:tcPr>
            <w:tcW w:w="0" w:type="auto"/>
            <w:vAlign w:val="center"/>
            <w:hideMark/>
          </w:tcPr>
          <w:p w:rsidR="004E4D34" w:rsidRDefault="004E4D34">
            <w:pPr>
              <w:rPr>
                <w:sz w:val="24"/>
                <w:szCs w:val="24"/>
              </w:rPr>
            </w:pPr>
            <w:r>
              <w:t xml:space="preserve">Consider Sell  </w:t>
            </w:r>
          </w:p>
        </w:tc>
        <w:tc>
          <w:tcPr>
            <w:tcW w:w="0" w:type="auto"/>
            <w:vAlign w:val="center"/>
            <w:hideMark/>
          </w:tcPr>
          <w:p w:rsidR="004E4D34" w:rsidRDefault="004E4D34">
            <w:pPr>
              <w:rPr>
                <w:sz w:val="24"/>
                <w:szCs w:val="24"/>
              </w:rPr>
            </w:pPr>
            <w:r>
              <w:t xml:space="preserve">Economic Moat  </w:t>
            </w:r>
          </w:p>
        </w:tc>
      </w:tr>
      <w:tr w:rsidR="004E4D34" w:rsidTr="004E4D34">
        <w:trPr>
          <w:gridAfter w:val="1"/>
          <w:wAfter w:w="3376" w:type="dxa"/>
          <w:tblCellSpacing w:w="15" w:type="dxa"/>
        </w:trPr>
        <w:tc>
          <w:tcPr>
            <w:tcW w:w="0" w:type="auto"/>
            <w:gridSpan w:val="2"/>
            <w:vAlign w:val="center"/>
            <w:hideMark/>
          </w:tcPr>
          <w:p w:rsidR="004E4D34" w:rsidRDefault="004E4D34">
            <w:pPr>
              <w:rPr>
                <w:sz w:val="24"/>
                <w:szCs w:val="24"/>
              </w:rPr>
            </w:pPr>
            <w:r>
              <w:t>44.1 USD</w:t>
            </w:r>
          </w:p>
        </w:tc>
        <w:tc>
          <w:tcPr>
            <w:tcW w:w="0" w:type="auto"/>
            <w:vAlign w:val="center"/>
            <w:hideMark/>
          </w:tcPr>
          <w:p w:rsidR="004E4D34" w:rsidRDefault="004E4D34">
            <w:pPr>
              <w:rPr>
                <w:sz w:val="24"/>
                <w:szCs w:val="24"/>
              </w:rPr>
            </w:pPr>
            <w:r>
              <w:t>85.05 USD</w:t>
            </w:r>
          </w:p>
        </w:tc>
        <w:tc>
          <w:tcPr>
            <w:tcW w:w="0" w:type="auto"/>
            <w:vAlign w:val="center"/>
            <w:hideMark/>
          </w:tcPr>
          <w:p w:rsidR="004E4D34" w:rsidRDefault="004E4D34">
            <w:pPr>
              <w:rPr>
                <w:sz w:val="24"/>
                <w:szCs w:val="24"/>
              </w:rPr>
            </w:pPr>
            <w:r>
              <w:t>Wide</w:t>
            </w:r>
          </w:p>
        </w:tc>
      </w:tr>
      <w:tr w:rsidR="004E4D34" w:rsidTr="004E4D34">
        <w:trPr>
          <w:gridAfter w:val="1"/>
          <w:wAfter w:w="3376" w:type="dxa"/>
          <w:tblCellSpacing w:w="15" w:type="dxa"/>
        </w:trPr>
        <w:tc>
          <w:tcPr>
            <w:tcW w:w="0" w:type="auto"/>
            <w:gridSpan w:val="4"/>
            <w:vAlign w:val="center"/>
            <w:hideMark/>
          </w:tcPr>
          <w:p w:rsidR="004E4D34" w:rsidRDefault="004E4D34">
            <w:pPr>
              <w:rPr>
                <w:sz w:val="24"/>
                <w:szCs w:val="24"/>
              </w:rPr>
            </w:pPr>
          </w:p>
        </w:tc>
      </w:tr>
      <w:tr w:rsidR="004E4D34" w:rsidTr="004E4D34">
        <w:trPr>
          <w:gridAfter w:val="1"/>
          <w:wAfter w:w="3376" w:type="dxa"/>
          <w:tblCellSpacing w:w="15" w:type="dxa"/>
        </w:trPr>
        <w:tc>
          <w:tcPr>
            <w:tcW w:w="0" w:type="auto"/>
            <w:gridSpan w:val="4"/>
            <w:vAlign w:val="center"/>
            <w:hideMark/>
          </w:tcPr>
          <w:p w:rsidR="004E4D34" w:rsidRDefault="004E4D34">
            <w:pPr>
              <w:rPr>
                <w:sz w:val="24"/>
                <w:szCs w:val="24"/>
              </w:rPr>
            </w:pPr>
            <w:r>
              <w:t xml:space="preserve">Stewardship Rating  </w:t>
            </w:r>
          </w:p>
        </w:tc>
      </w:tr>
      <w:tr w:rsidR="004E4D34" w:rsidTr="004E4D34">
        <w:trPr>
          <w:gridAfter w:val="1"/>
          <w:wAfter w:w="3376" w:type="dxa"/>
          <w:tblCellSpacing w:w="15" w:type="dxa"/>
        </w:trPr>
        <w:tc>
          <w:tcPr>
            <w:tcW w:w="0" w:type="auto"/>
            <w:gridSpan w:val="4"/>
            <w:vAlign w:val="center"/>
            <w:hideMark/>
          </w:tcPr>
          <w:p w:rsidR="004E4D34" w:rsidRDefault="004E4D34">
            <w:pPr>
              <w:rPr>
                <w:sz w:val="24"/>
                <w:szCs w:val="24"/>
              </w:rPr>
            </w:pPr>
            <w:r>
              <w:t>Standard</w:t>
            </w:r>
          </w:p>
        </w:tc>
      </w:tr>
      <w:tr w:rsidR="004E4D34" w:rsidTr="004E4D34">
        <w:trPr>
          <w:gridAfter w:val="1"/>
          <w:wAfter w:w="3376" w:type="dxa"/>
          <w:tblCellSpacing w:w="15" w:type="dxa"/>
        </w:trPr>
        <w:tc>
          <w:tcPr>
            <w:tcW w:w="0" w:type="auto"/>
            <w:gridSpan w:val="4"/>
            <w:vAlign w:val="center"/>
            <w:hideMark/>
          </w:tcPr>
          <w:p w:rsidR="004E4D34" w:rsidRDefault="004E4D34">
            <w:pPr>
              <w:rPr>
                <w:sz w:val="24"/>
                <w:szCs w:val="24"/>
              </w:rPr>
            </w:pPr>
          </w:p>
        </w:tc>
      </w:tr>
      <w:tr w:rsidR="004E4D34" w:rsidTr="004E4D34">
        <w:trPr>
          <w:tblCellSpacing w:w="15" w:type="dxa"/>
        </w:trPr>
        <w:tc>
          <w:tcPr>
            <w:tcW w:w="150" w:type="pct"/>
            <w:vAlign w:val="center"/>
            <w:hideMark/>
          </w:tcPr>
          <w:p w:rsidR="004E4D34" w:rsidRDefault="004E4D34">
            <w:pPr>
              <w:rPr>
                <w:sz w:val="24"/>
                <w:szCs w:val="24"/>
              </w:rPr>
            </w:pPr>
          </w:p>
        </w:tc>
        <w:tc>
          <w:tcPr>
            <w:tcW w:w="4850" w:type="pct"/>
            <w:gridSpan w:val="4"/>
            <w:vAlign w:val="center"/>
            <w:hideMark/>
          </w:tcPr>
          <w:p w:rsidR="004E4D34" w:rsidRDefault="004E4D34">
            <w:pPr>
              <w:rPr>
                <w:sz w:val="24"/>
                <w:szCs w:val="24"/>
              </w:rPr>
            </w:pPr>
          </w:p>
        </w:tc>
      </w:tr>
      <w:tr w:rsidR="004E4D34" w:rsidTr="004E4D34">
        <w:trPr>
          <w:tblCellSpacing w:w="15" w:type="dxa"/>
        </w:trPr>
        <w:tc>
          <w:tcPr>
            <w:tcW w:w="0" w:type="auto"/>
            <w:gridSpan w:val="5"/>
            <w:vAlign w:val="center"/>
            <w:hideMark/>
          </w:tcPr>
          <w:p w:rsidR="004E4D34" w:rsidRDefault="004E4D34">
            <w:pPr>
              <w:rPr>
                <w:sz w:val="24"/>
                <w:szCs w:val="24"/>
              </w:rPr>
            </w:pPr>
            <w:r>
              <w:t>Bulls Say</w:t>
            </w:r>
          </w:p>
        </w:tc>
      </w:tr>
      <w:tr w:rsidR="004E4D34" w:rsidTr="004E4D34">
        <w:trPr>
          <w:tblCellSpacing w:w="15" w:type="dxa"/>
        </w:trPr>
        <w:tc>
          <w:tcPr>
            <w:tcW w:w="0" w:type="auto"/>
            <w:gridSpan w:val="5"/>
            <w:vAlign w:val="center"/>
            <w:hideMark/>
          </w:tcPr>
          <w:p w:rsidR="004E4D34" w:rsidRDefault="004E4D34">
            <w:pPr>
              <w:rPr>
                <w:sz w:val="24"/>
                <w:szCs w:val="24"/>
              </w:rPr>
            </w:pPr>
          </w:p>
        </w:tc>
      </w:tr>
      <w:tr w:rsidR="004E4D34" w:rsidTr="004E4D34">
        <w:trPr>
          <w:tblCellSpacing w:w="15" w:type="dxa"/>
        </w:trPr>
        <w:tc>
          <w:tcPr>
            <w:tcW w:w="0" w:type="auto"/>
            <w:vAlign w:val="center"/>
            <w:hideMark/>
          </w:tcPr>
          <w:p w:rsidR="004E4D34" w:rsidRDefault="004E4D34">
            <w:pPr>
              <w:rPr>
                <w:sz w:val="24"/>
                <w:szCs w:val="24"/>
              </w:rPr>
            </w:pPr>
            <w:r>
              <w:t>•</w:t>
            </w:r>
          </w:p>
        </w:tc>
        <w:tc>
          <w:tcPr>
            <w:tcW w:w="0" w:type="auto"/>
            <w:gridSpan w:val="4"/>
            <w:vAlign w:val="center"/>
            <w:hideMark/>
          </w:tcPr>
          <w:p w:rsidR="004E4D34" w:rsidRDefault="004E4D34">
            <w:pPr>
              <w:rPr>
                <w:sz w:val="24"/>
                <w:szCs w:val="24"/>
              </w:rPr>
            </w:pPr>
            <w:r>
              <w:t>Cerner is a tier-one player in the healthcare IT industry as its software is highly integrated into the operations of several large provider networks.</w:t>
            </w:r>
          </w:p>
        </w:tc>
      </w:tr>
      <w:tr w:rsidR="004E4D34" w:rsidTr="004E4D34">
        <w:trPr>
          <w:tblCellSpacing w:w="15" w:type="dxa"/>
        </w:trPr>
        <w:tc>
          <w:tcPr>
            <w:tcW w:w="0" w:type="auto"/>
            <w:gridSpan w:val="5"/>
            <w:vAlign w:val="center"/>
            <w:hideMark/>
          </w:tcPr>
          <w:p w:rsidR="004E4D34" w:rsidRDefault="004E4D34">
            <w:pPr>
              <w:rPr>
                <w:sz w:val="24"/>
                <w:szCs w:val="24"/>
              </w:rPr>
            </w:pPr>
          </w:p>
        </w:tc>
      </w:tr>
      <w:tr w:rsidR="004E4D34" w:rsidTr="004E4D34">
        <w:trPr>
          <w:tblCellSpacing w:w="15" w:type="dxa"/>
        </w:trPr>
        <w:tc>
          <w:tcPr>
            <w:tcW w:w="0" w:type="auto"/>
            <w:vAlign w:val="center"/>
            <w:hideMark/>
          </w:tcPr>
          <w:p w:rsidR="004E4D34" w:rsidRDefault="004E4D34">
            <w:pPr>
              <w:rPr>
                <w:sz w:val="24"/>
                <w:szCs w:val="24"/>
              </w:rPr>
            </w:pPr>
            <w:r>
              <w:t>•</w:t>
            </w:r>
          </w:p>
        </w:tc>
        <w:tc>
          <w:tcPr>
            <w:tcW w:w="0" w:type="auto"/>
            <w:gridSpan w:val="4"/>
            <w:vAlign w:val="center"/>
            <w:hideMark/>
          </w:tcPr>
          <w:p w:rsidR="004E4D34" w:rsidRDefault="004E4D34">
            <w:pPr>
              <w:rPr>
                <w:sz w:val="24"/>
                <w:szCs w:val="24"/>
              </w:rPr>
            </w:pPr>
            <w:r>
              <w:t>The firm has internally developed much of its software, which makes its product lineup one of the most seamless and effective within the healthcare IT sector.</w:t>
            </w:r>
          </w:p>
        </w:tc>
      </w:tr>
      <w:tr w:rsidR="004E4D34" w:rsidTr="004E4D34">
        <w:trPr>
          <w:tblCellSpacing w:w="15" w:type="dxa"/>
        </w:trPr>
        <w:tc>
          <w:tcPr>
            <w:tcW w:w="0" w:type="auto"/>
            <w:gridSpan w:val="5"/>
            <w:vAlign w:val="center"/>
            <w:hideMark/>
          </w:tcPr>
          <w:p w:rsidR="004E4D34" w:rsidRDefault="004E4D34">
            <w:pPr>
              <w:rPr>
                <w:sz w:val="24"/>
                <w:szCs w:val="24"/>
              </w:rPr>
            </w:pPr>
          </w:p>
        </w:tc>
      </w:tr>
      <w:tr w:rsidR="004E4D34" w:rsidTr="004E4D34">
        <w:trPr>
          <w:tblCellSpacing w:w="15" w:type="dxa"/>
        </w:trPr>
        <w:tc>
          <w:tcPr>
            <w:tcW w:w="0" w:type="auto"/>
            <w:vAlign w:val="center"/>
            <w:hideMark/>
          </w:tcPr>
          <w:p w:rsidR="004E4D34" w:rsidRDefault="004E4D34">
            <w:pPr>
              <w:rPr>
                <w:sz w:val="24"/>
                <w:szCs w:val="24"/>
              </w:rPr>
            </w:pPr>
            <w:r>
              <w:t>•</w:t>
            </w:r>
          </w:p>
        </w:tc>
        <w:tc>
          <w:tcPr>
            <w:tcW w:w="0" w:type="auto"/>
            <w:gridSpan w:val="4"/>
            <w:vAlign w:val="center"/>
            <w:hideMark/>
          </w:tcPr>
          <w:p w:rsidR="004E4D34" w:rsidRDefault="004E4D34">
            <w:pPr>
              <w:rPr>
                <w:sz w:val="24"/>
                <w:szCs w:val="24"/>
              </w:rPr>
            </w:pPr>
            <w:r>
              <w:t xml:space="preserve">The secular demand tailwinds for Cerner’s products are robust given ACA mandates that require providers to upgrade their health records management systems. This highly positive trend will be enhanced over the next several years by changing payer reimbursement structures. </w:t>
            </w:r>
          </w:p>
        </w:tc>
      </w:tr>
      <w:tr w:rsidR="004E4D34" w:rsidTr="004E4D34">
        <w:trPr>
          <w:tblCellSpacing w:w="15" w:type="dxa"/>
        </w:trPr>
        <w:tc>
          <w:tcPr>
            <w:tcW w:w="0" w:type="auto"/>
            <w:gridSpan w:val="5"/>
            <w:vAlign w:val="center"/>
            <w:hideMark/>
          </w:tcPr>
          <w:p w:rsidR="004E4D34" w:rsidRDefault="004E4D34">
            <w:pPr>
              <w:rPr>
                <w:sz w:val="24"/>
                <w:szCs w:val="24"/>
              </w:rPr>
            </w:pPr>
          </w:p>
        </w:tc>
      </w:tr>
    </w:tbl>
    <w:p w:rsidR="004E4D34" w:rsidRDefault="004E4D34" w:rsidP="004E4D34">
      <w:pPr>
        <w:rPr>
          <w:vanish/>
        </w:rPr>
      </w:pPr>
    </w:p>
    <w:tbl>
      <w:tblPr>
        <w:tblW w:w="0" w:type="auto"/>
        <w:tblCellSpacing w:w="15" w:type="dxa"/>
        <w:tblCellMar>
          <w:top w:w="15" w:type="dxa"/>
          <w:left w:w="15" w:type="dxa"/>
          <w:bottom w:w="15" w:type="dxa"/>
          <w:right w:w="15" w:type="dxa"/>
        </w:tblCellMar>
        <w:tblLook w:val="04A0"/>
      </w:tblPr>
      <w:tblGrid>
        <w:gridCol w:w="326"/>
        <w:gridCol w:w="9124"/>
      </w:tblGrid>
      <w:tr w:rsidR="004E4D34" w:rsidTr="004E4D34">
        <w:trPr>
          <w:tblCellSpacing w:w="15" w:type="dxa"/>
        </w:trPr>
        <w:tc>
          <w:tcPr>
            <w:tcW w:w="150" w:type="pct"/>
            <w:vAlign w:val="center"/>
            <w:hideMark/>
          </w:tcPr>
          <w:p w:rsidR="004E4D34" w:rsidRDefault="004E4D34">
            <w:pPr>
              <w:rPr>
                <w:sz w:val="24"/>
                <w:szCs w:val="24"/>
              </w:rPr>
            </w:pPr>
          </w:p>
        </w:tc>
        <w:tc>
          <w:tcPr>
            <w:tcW w:w="4850" w:type="pct"/>
            <w:vAlign w:val="center"/>
            <w:hideMark/>
          </w:tcPr>
          <w:p w:rsidR="004E4D34" w:rsidRDefault="004E4D34">
            <w:pPr>
              <w:rPr>
                <w:sz w:val="24"/>
                <w:szCs w:val="24"/>
              </w:rPr>
            </w:pPr>
          </w:p>
        </w:tc>
      </w:tr>
      <w:tr w:rsidR="004E4D34" w:rsidTr="004E4D34">
        <w:trPr>
          <w:tblCellSpacing w:w="15" w:type="dxa"/>
        </w:trPr>
        <w:tc>
          <w:tcPr>
            <w:tcW w:w="0" w:type="auto"/>
            <w:gridSpan w:val="2"/>
            <w:vAlign w:val="center"/>
            <w:hideMark/>
          </w:tcPr>
          <w:p w:rsidR="004E4D34" w:rsidRDefault="004E4D34">
            <w:pPr>
              <w:rPr>
                <w:sz w:val="24"/>
                <w:szCs w:val="24"/>
              </w:rPr>
            </w:pPr>
            <w:r>
              <w:t>Bears Say</w:t>
            </w:r>
          </w:p>
        </w:tc>
      </w:tr>
      <w:tr w:rsidR="004E4D34" w:rsidTr="004E4D34">
        <w:trPr>
          <w:tblCellSpacing w:w="15" w:type="dxa"/>
        </w:trPr>
        <w:tc>
          <w:tcPr>
            <w:tcW w:w="0" w:type="auto"/>
            <w:gridSpan w:val="2"/>
            <w:vAlign w:val="center"/>
            <w:hideMark/>
          </w:tcPr>
          <w:p w:rsidR="004E4D34" w:rsidRDefault="004E4D34">
            <w:pPr>
              <w:rPr>
                <w:sz w:val="24"/>
                <w:szCs w:val="24"/>
              </w:rPr>
            </w:pPr>
          </w:p>
        </w:tc>
      </w:tr>
      <w:tr w:rsidR="004E4D34" w:rsidTr="004E4D34">
        <w:trPr>
          <w:tblCellSpacing w:w="15" w:type="dxa"/>
        </w:trPr>
        <w:tc>
          <w:tcPr>
            <w:tcW w:w="0" w:type="auto"/>
            <w:vAlign w:val="center"/>
            <w:hideMark/>
          </w:tcPr>
          <w:p w:rsidR="004E4D34" w:rsidRDefault="004E4D34">
            <w:pPr>
              <w:rPr>
                <w:sz w:val="24"/>
                <w:szCs w:val="24"/>
              </w:rPr>
            </w:pPr>
            <w:r>
              <w:t>•</w:t>
            </w:r>
          </w:p>
        </w:tc>
        <w:tc>
          <w:tcPr>
            <w:tcW w:w="0" w:type="auto"/>
            <w:vAlign w:val="center"/>
            <w:hideMark/>
          </w:tcPr>
          <w:p w:rsidR="004E4D34" w:rsidRDefault="004E4D34">
            <w:pPr>
              <w:rPr>
                <w:sz w:val="24"/>
                <w:szCs w:val="24"/>
              </w:rPr>
            </w:pPr>
            <w:r>
              <w:t>Given the critical nature of Cerner’s products, any issue with its software development can create major operational headwinds.</w:t>
            </w:r>
          </w:p>
        </w:tc>
      </w:tr>
      <w:tr w:rsidR="004E4D34" w:rsidTr="004E4D34">
        <w:trPr>
          <w:tblCellSpacing w:w="15" w:type="dxa"/>
        </w:trPr>
        <w:tc>
          <w:tcPr>
            <w:tcW w:w="0" w:type="auto"/>
            <w:gridSpan w:val="2"/>
            <w:vAlign w:val="center"/>
            <w:hideMark/>
          </w:tcPr>
          <w:p w:rsidR="004E4D34" w:rsidRDefault="004E4D34">
            <w:pPr>
              <w:rPr>
                <w:sz w:val="24"/>
                <w:szCs w:val="24"/>
              </w:rPr>
            </w:pPr>
          </w:p>
        </w:tc>
      </w:tr>
      <w:tr w:rsidR="004E4D34" w:rsidTr="004E4D34">
        <w:trPr>
          <w:tblCellSpacing w:w="15" w:type="dxa"/>
        </w:trPr>
        <w:tc>
          <w:tcPr>
            <w:tcW w:w="0" w:type="auto"/>
            <w:vAlign w:val="center"/>
            <w:hideMark/>
          </w:tcPr>
          <w:p w:rsidR="004E4D34" w:rsidRDefault="004E4D34">
            <w:pPr>
              <w:rPr>
                <w:sz w:val="24"/>
                <w:szCs w:val="24"/>
              </w:rPr>
            </w:pPr>
            <w:r>
              <w:t>•</w:t>
            </w:r>
          </w:p>
        </w:tc>
        <w:tc>
          <w:tcPr>
            <w:tcW w:w="0" w:type="auto"/>
            <w:vAlign w:val="center"/>
            <w:hideMark/>
          </w:tcPr>
          <w:p w:rsidR="004E4D34" w:rsidRDefault="004E4D34">
            <w:pPr>
              <w:rPr>
                <w:sz w:val="24"/>
                <w:szCs w:val="24"/>
              </w:rPr>
            </w:pPr>
            <w:r>
              <w:t xml:space="preserve">Competition could increase as many well capitalized players have made major moves into the healthcare IT market. </w:t>
            </w:r>
          </w:p>
        </w:tc>
      </w:tr>
      <w:tr w:rsidR="004E4D34" w:rsidTr="004E4D34">
        <w:trPr>
          <w:tblCellSpacing w:w="15" w:type="dxa"/>
        </w:trPr>
        <w:tc>
          <w:tcPr>
            <w:tcW w:w="0" w:type="auto"/>
            <w:gridSpan w:val="2"/>
            <w:vAlign w:val="center"/>
            <w:hideMark/>
          </w:tcPr>
          <w:p w:rsidR="004E4D34" w:rsidRDefault="004E4D34">
            <w:pPr>
              <w:rPr>
                <w:sz w:val="24"/>
                <w:szCs w:val="24"/>
              </w:rPr>
            </w:pPr>
          </w:p>
        </w:tc>
      </w:tr>
      <w:tr w:rsidR="004E4D34" w:rsidTr="004E4D34">
        <w:trPr>
          <w:tblCellSpacing w:w="15" w:type="dxa"/>
        </w:trPr>
        <w:tc>
          <w:tcPr>
            <w:tcW w:w="0" w:type="auto"/>
            <w:vAlign w:val="center"/>
            <w:hideMark/>
          </w:tcPr>
          <w:p w:rsidR="004E4D34" w:rsidRDefault="004E4D34">
            <w:pPr>
              <w:rPr>
                <w:sz w:val="24"/>
                <w:szCs w:val="24"/>
              </w:rPr>
            </w:pPr>
            <w:r>
              <w:t>•</w:t>
            </w:r>
          </w:p>
        </w:tc>
        <w:tc>
          <w:tcPr>
            <w:tcW w:w="0" w:type="auto"/>
            <w:vAlign w:val="center"/>
            <w:hideMark/>
          </w:tcPr>
          <w:p w:rsidR="004E4D34" w:rsidRDefault="004E4D34">
            <w:pPr>
              <w:rPr>
                <w:sz w:val="24"/>
                <w:szCs w:val="24"/>
              </w:rPr>
            </w:pPr>
            <w:r>
              <w:t>A material portion of Cerner’s products have been developed to assist providers with regulatory compliance and any governmental changes to current mandates would create headwinds for the firm.</w:t>
            </w:r>
          </w:p>
        </w:tc>
      </w:tr>
      <w:tr w:rsidR="004E4D34" w:rsidTr="004E4D34">
        <w:trPr>
          <w:tblCellSpacing w:w="15" w:type="dxa"/>
        </w:trPr>
        <w:tc>
          <w:tcPr>
            <w:tcW w:w="0" w:type="auto"/>
            <w:gridSpan w:val="2"/>
            <w:vAlign w:val="center"/>
            <w:hideMark/>
          </w:tcPr>
          <w:p w:rsidR="004E4D34" w:rsidRDefault="004E4D34">
            <w:pPr>
              <w:rPr>
                <w:sz w:val="24"/>
                <w:szCs w:val="24"/>
              </w:rPr>
            </w:pPr>
          </w:p>
        </w:tc>
      </w:tr>
    </w:tbl>
    <w:p w:rsidR="004E4D34" w:rsidRDefault="004E4D34" w:rsidP="004E4D34">
      <w:pPr>
        <w:spacing w:after="0"/>
        <w:rPr>
          <w:rStyle w:val="Hyperlink"/>
        </w:rPr>
      </w:pPr>
      <w:r>
        <w:fldChar w:fldCharType="begin"/>
      </w:r>
      <w:r>
        <w:instrText xml:space="preserve"> HYPERLINK "http://financials.morningstar.com/competitors/industry-peer.action?&amp;t=XNAS:CERN&amp;region=usa&amp;culture=en-US&amp;ops=clear&amp;cur=" </w:instrText>
      </w:r>
      <w:r>
        <w:fldChar w:fldCharType="separate"/>
      </w:r>
      <w:r>
        <w:rPr>
          <w:rStyle w:val="grtextmore"/>
        </w:rPr>
        <w:t>More...</w:t>
      </w:r>
      <w:r>
        <w:rPr>
          <w:rStyle w:val="Hyperlink"/>
        </w:rPr>
        <w:t xml:space="preserve"> </w:t>
      </w:r>
    </w:p>
    <w:p w:rsidR="004E4D34" w:rsidRDefault="004E4D34" w:rsidP="004E4D34">
      <w:pPr>
        <w:pStyle w:val="Heading3"/>
      </w:pPr>
      <w:r>
        <w:rPr>
          <w:color w:val="0000FF"/>
          <w:u w:val="single"/>
        </w:rPr>
        <w:t xml:space="preserve">Competitors </w:t>
      </w:r>
    </w:p>
    <w:p w:rsidR="004E4D34" w:rsidRDefault="004E4D34" w:rsidP="004E4D34">
      <w:pPr>
        <w:pStyle w:val="Heading2"/>
        <w:rPr>
          <w:color w:val="0000FF"/>
          <w:u w:val="single"/>
        </w:rPr>
      </w:pPr>
      <w:r>
        <w:rPr>
          <w:color w:val="0000FF"/>
          <w:u w:val="single"/>
        </w:rPr>
        <w:t>CERN</w:t>
      </w:r>
    </w:p>
    <w:p w:rsidR="004E4D34" w:rsidRDefault="004E4D34" w:rsidP="004E4D34">
      <w:r>
        <w:fldChar w:fldCharType="end"/>
      </w:r>
    </w:p>
    <w:tbl>
      <w:tblPr>
        <w:tblW w:w="5000" w:type="pct"/>
        <w:tblCellSpacing w:w="0" w:type="dxa"/>
        <w:tblCellMar>
          <w:left w:w="0" w:type="dxa"/>
          <w:right w:w="0" w:type="dxa"/>
        </w:tblCellMar>
        <w:tblLook w:val="04A0"/>
      </w:tblPr>
      <w:tblGrid>
        <w:gridCol w:w="4749"/>
        <w:gridCol w:w="1486"/>
        <w:gridCol w:w="1125"/>
        <w:gridCol w:w="102"/>
        <w:gridCol w:w="1898"/>
      </w:tblGrid>
      <w:tr w:rsidR="004E4D34" w:rsidTr="004E4D34">
        <w:trPr>
          <w:tblCellSpacing w:w="0" w:type="dxa"/>
        </w:trPr>
        <w:tc>
          <w:tcPr>
            <w:tcW w:w="0" w:type="auto"/>
            <w:vAlign w:val="center"/>
            <w:hideMark/>
          </w:tcPr>
          <w:p w:rsidR="004E4D34" w:rsidRDefault="004E4D34">
            <w:pPr>
              <w:jc w:val="center"/>
              <w:rPr>
                <w:b/>
                <w:bCs/>
                <w:sz w:val="24"/>
                <w:szCs w:val="24"/>
              </w:rPr>
            </w:pPr>
            <w:r>
              <w:rPr>
                <w:b/>
                <w:bCs/>
              </w:rPr>
              <w:br/>
            </w:r>
            <w:r>
              <w:rPr>
                <w:b/>
                <w:bCs/>
              </w:rPr>
              <w:lastRenderedPageBreak/>
              <w:t xml:space="preserve">Name </w:t>
            </w:r>
          </w:p>
        </w:tc>
        <w:tc>
          <w:tcPr>
            <w:tcW w:w="0" w:type="auto"/>
            <w:vAlign w:val="center"/>
            <w:hideMark/>
          </w:tcPr>
          <w:p w:rsidR="004E4D34" w:rsidRDefault="004E4D34">
            <w:pPr>
              <w:jc w:val="center"/>
              <w:rPr>
                <w:b/>
                <w:bCs/>
                <w:sz w:val="24"/>
                <w:szCs w:val="24"/>
              </w:rPr>
            </w:pPr>
            <w:r>
              <w:rPr>
                <w:b/>
                <w:bCs/>
              </w:rPr>
              <w:lastRenderedPageBreak/>
              <w:br/>
            </w:r>
            <w:r>
              <w:rPr>
                <w:b/>
                <w:bCs/>
              </w:rPr>
              <w:lastRenderedPageBreak/>
              <w:t xml:space="preserve">Price </w:t>
            </w:r>
          </w:p>
        </w:tc>
        <w:tc>
          <w:tcPr>
            <w:tcW w:w="0" w:type="auto"/>
            <w:vAlign w:val="center"/>
            <w:hideMark/>
          </w:tcPr>
          <w:p w:rsidR="004E4D34" w:rsidRDefault="004E4D34">
            <w:pPr>
              <w:jc w:val="center"/>
              <w:rPr>
                <w:b/>
                <w:bCs/>
                <w:sz w:val="24"/>
                <w:szCs w:val="24"/>
              </w:rPr>
            </w:pPr>
            <w:r>
              <w:rPr>
                <w:b/>
                <w:bCs/>
              </w:rPr>
              <w:lastRenderedPageBreak/>
              <w:br/>
            </w:r>
            <w:r>
              <w:rPr>
                <w:b/>
                <w:bCs/>
              </w:rPr>
              <w:lastRenderedPageBreak/>
              <w:t xml:space="preserve">% Chg </w:t>
            </w:r>
          </w:p>
        </w:tc>
        <w:tc>
          <w:tcPr>
            <w:tcW w:w="0" w:type="auto"/>
            <w:vAlign w:val="center"/>
            <w:hideMark/>
          </w:tcPr>
          <w:p w:rsidR="004E4D34" w:rsidRDefault="004E4D34">
            <w:pPr>
              <w:jc w:val="center"/>
              <w:rPr>
                <w:b/>
                <w:bCs/>
                <w:sz w:val="24"/>
                <w:szCs w:val="24"/>
              </w:rPr>
            </w:pPr>
            <w:r>
              <w:rPr>
                <w:b/>
                <w:bCs/>
              </w:rPr>
              <w:lastRenderedPageBreak/>
              <w:t xml:space="preserve">  </w:t>
            </w:r>
          </w:p>
        </w:tc>
        <w:tc>
          <w:tcPr>
            <w:tcW w:w="0" w:type="auto"/>
            <w:vAlign w:val="center"/>
            <w:hideMark/>
          </w:tcPr>
          <w:p w:rsidR="004E4D34" w:rsidRDefault="004E4D34">
            <w:pPr>
              <w:jc w:val="center"/>
              <w:rPr>
                <w:b/>
                <w:bCs/>
                <w:sz w:val="24"/>
                <w:szCs w:val="24"/>
              </w:rPr>
            </w:pPr>
            <w:r>
              <w:rPr>
                <w:b/>
                <w:bCs/>
              </w:rPr>
              <w:t xml:space="preserve">TTM Sales </w:t>
            </w:r>
            <w:r>
              <w:rPr>
                <w:b/>
                <w:bCs/>
              </w:rPr>
              <w:br/>
            </w:r>
            <w:r>
              <w:rPr>
                <w:b/>
                <w:bCs/>
              </w:rPr>
              <w:lastRenderedPageBreak/>
              <w:t xml:space="preserve">$ mil </w:t>
            </w:r>
          </w:p>
        </w:tc>
      </w:tr>
      <w:tr w:rsidR="004E4D34" w:rsidTr="004E4D34">
        <w:trPr>
          <w:tblCellSpacing w:w="0" w:type="dxa"/>
        </w:trPr>
        <w:tc>
          <w:tcPr>
            <w:tcW w:w="0" w:type="auto"/>
            <w:gridSpan w:val="5"/>
            <w:vAlign w:val="center"/>
            <w:hideMark/>
          </w:tcPr>
          <w:p w:rsidR="004E4D34" w:rsidRDefault="004E4D34">
            <w:pPr>
              <w:rPr>
                <w:sz w:val="24"/>
                <w:szCs w:val="24"/>
              </w:rPr>
            </w:pPr>
          </w:p>
        </w:tc>
      </w:tr>
      <w:tr w:rsidR="004E4D34" w:rsidTr="004E4D34">
        <w:trPr>
          <w:tblCellSpacing w:w="0" w:type="dxa"/>
        </w:trPr>
        <w:tc>
          <w:tcPr>
            <w:tcW w:w="0" w:type="auto"/>
            <w:vAlign w:val="center"/>
            <w:hideMark/>
          </w:tcPr>
          <w:p w:rsidR="004E4D34" w:rsidRDefault="004E4D34">
            <w:pPr>
              <w:rPr>
                <w:sz w:val="24"/>
                <w:szCs w:val="24"/>
              </w:rPr>
            </w:pPr>
            <w:r>
              <w:t xml:space="preserve">Cerner Corp </w:t>
            </w:r>
          </w:p>
        </w:tc>
        <w:tc>
          <w:tcPr>
            <w:tcW w:w="0" w:type="auto"/>
            <w:vAlign w:val="center"/>
            <w:hideMark/>
          </w:tcPr>
          <w:p w:rsidR="004E4D34" w:rsidRDefault="004E4D34">
            <w:pPr>
              <w:jc w:val="right"/>
              <w:rPr>
                <w:sz w:val="24"/>
                <w:szCs w:val="24"/>
              </w:rPr>
            </w:pPr>
            <w:r>
              <w:t xml:space="preserve">$58.46 </w:t>
            </w:r>
          </w:p>
        </w:tc>
        <w:tc>
          <w:tcPr>
            <w:tcW w:w="0" w:type="auto"/>
            <w:vAlign w:val="center"/>
            <w:hideMark/>
          </w:tcPr>
          <w:p w:rsidR="004E4D34" w:rsidRDefault="004E4D34">
            <w:pPr>
              <w:jc w:val="right"/>
              <w:rPr>
                <w:sz w:val="24"/>
                <w:szCs w:val="24"/>
              </w:rPr>
            </w:pPr>
            <w:r>
              <w:t xml:space="preserve">0.17 </w:t>
            </w:r>
          </w:p>
        </w:tc>
        <w:tc>
          <w:tcPr>
            <w:tcW w:w="0" w:type="auto"/>
            <w:vAlign w:val="center"/>
            <w:hideMark/>
          </w:tcPr>
          <w:p w:rsidR="004E4D34" w:rsidRDefault="004E4D34">
            <w:pPr>
              <w:jc w:val="right"/>
              <w:rPr>
                <w:sz w:val="24"/>
                <w:szCs w:val="24"/>
              </w:rPr>
            </w:pPr>
          </w:p>
        </w:tc>
        <w:tc>
          <w:tcPr>
            <w:tcW w:w="0" w:type="auto"/>
            <w:vAlign w:val="center"/>
            <w:hideMark/>
          </w:tcPr>
          <w:p w:rsidR="004E4D34" w:rsidRDefault="004E4D34">
            <w:pPr>
              <w:jc w:val="right"/>
              <w:rPr>
                <w:sz w:val="24"/>
                <w:szCs w:val="24"/>
              </w:rPr>
            </w:pPr>
            <w:r>
              <w:t xml:space="preserve">4,425  </w:t>
            </w:r>
          </w:p>
        </w:tc>
      </w:tr>
      <w:tr w:rsidR="004E4D34" w:rsidTr="004E4D34">
        <w:trPr>
          <w:tblCellSpacing w:w="0" w:type="dxa"/>
        </w:trPr>
        <w:tc>
          <w:tcPr>
            <w:tcW w:w="0" w:type="auto"/>
            <w:vAlign w:val="center"/>
            <w:hideMark/>
          </w:tcPr>
          <w:p w:rsidR="004E4D34" w:rsidRDefault="004E4D34">
            <w:pPr>
              <w:rPr>
                <w:sz w:val="24"/>
                <w:szCs w:val="24"/>
              </w:rPr>
            </w:pPr>
            <w:hyperlink r:id="rId12" w:history="1">
              <w:r>
                <w:rPr>
                  <w:rStyle w:val="Hyperlink"/>
                </w:rPr>
                <w:t>IMS Health Holdings Inc</w:t>
              </w:r>
            </w:hyperlink>
            <w:r>
              <w:t xml:space="preserve"> </w:t>
            </w:r>
          </w:p>
        </w:tc>
        <w:tc>
          <w:tcPr>
            <w:tcW w:w="0" w:type="auto"/>
            <w:vAlign w:val="center"/>
            <w:hideMark/>
          </w:tcPr>
          <w:p w:rsidR="004E4D34" w:rsidRDefault="004E4D34">
            <w:pPr>
              <w:jc w:val="right"/>
              <w:rPr>
                <w:sz w:val="24"/>
                <w:szCs w:val="24"/>
              </w:rPr>
            </w:pPr>
            <w:r>
              <w:t xml:space="preserve">$26.86 </w:t>
            </w:r>
          </w:p>
        </w:tc>
        <w:tc>
          <w:tcPr>
            <w:tcW w:w="0" w:type="auto"/>
            <w:vAlign w:val="center"/>
            <w:hideMark/>
          </w:tcPr>
          <w:p w:rsidR="004E4D34" w:rsidRDefault="004E4D34">
            <w:pPr>
              <w:jc w:val="right"/>
              <w:rPr>
                <w:sz w:val="24"/>
                <w:szCs w:val="24"/>
              </w:rPr>
            </w:pPr>
            <w:r>
              <w:t xml:space="preserve">-0.70 </w:t>
            </w:r>
          </w:p>
        </w:tc>
        <w:tc>
          <w:tcPr>
            <w:tcW w:w="0" w:type="auto"/>
            <w:vAlign w:val="center"/>
            <w:hideMark/>
          </w:tcPr>
          <w:p w:rsidR="004E4D34" w:rsidRDefault="004E4D34">
            <w:pPr>
              <w:jc w:val="right"/>
              <w:rPr>
                <w:sz w:val="24"/>
                <w:szCs w:val="24"/>
              </w:rPr>
            </w:pPr>
          </w:p>
        </w:tc>
        <w:tc>
          <w:tcPr>
            <w:tcW w:w="0" w:type="auto"/>
            <w:vAlign w:val="center"/>
            <w:hideMark/>
          </w:tcPr>
          <w:p w:rsidR="004E4D34" w:rsidRDefault="004E4D34">
            <w:pPr>
              <w:jc w:val="right"/>
              <w:rPr>
                <w:sz w:val="24"/>
                <w:szCs w:val="24"/>
              </w:rPr>
            </w:pPr>
            <w:r>
              <w:t xml:space="preserve">2,921  </w:t>
            </w:r>
          </w:p>
        </w:tc>
      </w:tr>
      <w:tr w:rsidR="004E4D34" w:rsidTr="004E4D34">
        <w:trPr>
          <w:tblCellSpacing w:w="0" w:type="dxa"/>
        </w:trPr>
        <w:tc>
          <w:tcPr>
            <w:tcW w:w="0" w:type="auto"/>
            <w:vAlign w:val="center"/>
            <w:hideMark/>
          </w:tcPr>
          <w:p w:rsidR="004E4D34" w:rsidRDefault="004E4D34">
            <w:pPr>
              <w:rPr>
                <w:sz w:val="24"/>
                <w:szCs w:val="24"/>
              </w:rPr>
            </w:pPr>
            <w:hyperlink r:id="rId13" w:history="1">
              <w:proofErr w:type="spellStart"/>
              <w:r>
                <w:rPr>
                  <w:rStyle w:val="Hyperlink"/>
                </w:rPr>
                <w:t>athenahealth</w:t>
              </w:r>
              <w:proofErr w:type="spellEnd"/>
              <w:r>
                <w:rPr>
                  <w:rStyle w:val="Hyperlink"/>
                </w:rPr>
                <w:t xml:space="preserve"> Inc</w:t>
              </w:r>
            </w:hyperlink>
            <w:r>
              <w:t xml:space="preserve"> </w:t>
            </w:r>
          </w:p>
        </w:tc>
        <w:tc>
          <w:tcPr>
            <w:tcW w:w="0" w:type="auto"/>
            <w:vAlign w:val="center"/>
            <w:hideMark/>
          </w:tcPr>
          <w:p w:rsidR="004E4D34" w:rsidRDefault="004E4D34">
            <w:pPr>
              <w:jc w:val="right"/>
              <w:rPr>
                <w:sz w:val="24"/>
                <w:szCs w:val="24"/>
              </w:rPr>
            </w:pPr>
            <w:r>
              <w:t xml:space="preserve">$134.16 </w:t>
            </w:r>
          </w:p>
        </w:tc>
        <w:tc>
          <w:tcPr>
            <w:tcW w:w="0" w:type="auto"/>
            <w:vAlign w:val="center"/>
            <w:hideMark/>
          </w:tcPr>
          <w:p w:rsidR="004E4D34" w:rsidRDefault="004E4D34">
            <w:pPr>
              <w:jc w:val="right"/>
              <w:rPr>
                <w:sz w:val="24"/>
                <w:szCs w:val="24"/>
              </w:rPr>
            </w:pPr>
            <w:r>
              <w:t xml:space="preserve">-2.58 </w:t>
            </w:r>
          </w:p>
        </w:tc>
        <w:tc>
          <w:tcPr>
            <w:tcW w:w="0" w:type="auto"/>
            <w:vAlign w:val="center"/>
            <w:hideMark/>
          </w:tcPr>
          <w:p w:rsidR="004E4D34" w:rsidRDefault="004E4D34">
            <w:pPr>
              <w:jc w:val="right"/>
              <w:rPr>
                <w:sz w:val="24"/>
                <w:szCs w:val="24"/>
              </w:rPr>
            </w:pPr>
          </w:p>
        </w:tc>
        <w:tc>
          <w:tcPr>
            <w:tcW w:w="0" w:type="auto"/>
            <w:vAlign w:val="center"/>
            <w:hideMark/>
          </w:tcPr>
          <w:p w:rsidR="004E4D34" w:rsidRDefault="004E4D34">
            <w:pPr>
              <w:jc w:val="right"/>
              <w:rPr>
                <w:sz w:val="24"/>
                <w:szCs w:val="24"/>
              </w:rPr>
            </w:pPr>
            <w:r>
              <w:t xml:space="preserve">925  </w:t>
            </w:r>
          </w:p>
        </w:tc>
      </w:tr>
      <w:tr w:rsidR="004E4D34" w:rsidTr="004E4D34">
        <w:trPr>
          <w:tblCellSpacing w:w="0" w:type="dxa"/>
        </w:trPr>
        <w:tc>
          <w:tcPr>
            <w:tcW w:w="0" w:type="auto"/>
            <w:vAlign w:val="center"/>
            <w:hideMark/>
          </w:tcPr>
          <w:p w:rsidR="004E4D34" w:rsidRDefault="004E4D34">
            <w:pPr>
              <w:rPr>
                <w:sz w:val="24"/>
                <w:szCs w:val="24"/>
              </w:rPr>
            </w:pPr>
            <w:hyperlink r:id="rId14" w:history="1">
              <w:r>
                <w:rPr>
                  <w:rStyle w:val="Hyperlink"/>
                </w:rPr>
                <w:t>WebMD Health Corp</w:t>
              </w:r>
            </w:hyperlink>
            <w:r>
              <w:t xml:space="preserve"> </w:t>
            </w:r>
          </w:p>
        </w:tc>
        <w:tc>
          <w:tcPr>
            <w:tcW w:w="0" w:type="auto"/>
            <w:vAlign w:val="center"/>
            <w:hideMark/>
          </w:tcPr>
          <w:p w:rsidR="004E4D34" w:rsidRDefault="004E4D34">
            <w:pPr>
              <w:jc w:val="right"/>
              <w:rPr>
                <w:sz w:val="24"/>
                <w:szCs w:val="24"/>
              </w:rPr>
            </w:pPr>
            <w:r>
              <w:t xml:space="preserve">$61.65 </w:t>
            </w:r>
          </w:p>
        </w:tc>
        <w:tc>
          <w:tcPr>
            <w:tcW w:w="0" w:type="auto"/>
            <w:vAlign w:val="center"/>
            <w:hideMark/>
          </w:tcPr>
          <w:p w:rsidR="004E4D34" w:rsidRDefault="004E4D34">
            <w:pPr>
              <w:jc w:val="right"/>
              <w:rPr>
                <w:sz w:val="24"/>
                <w:szCs w:val="24"/>
              </w:rPr>
            </w:pPr>
            <w:r>
              <w:t xml:space="preserve">-0.80 </w:t>
            </w:r>
          </w:p>
        </w:tc>
        <w:tc>
          <w:tcPr>
            <w:tcW w:w="0" w:type="auto"/>
            <w:vAlign w:val="center"/>
            <w:hideMark/>
          </w:tcPr>
          <w:p w:rsidR="004E4D34" w:rsidRDefault="004E4D34">
            <w:pPr>
              <w:jc w:val="right"/>
              <w:rPr>
                <w:sz w:val="24"/>
                <w:szCs w:val="24"/>
              </w:rPr>
            </w:pPr>
          </w:p>
        </w:tc>
        <w:tc>
          <w:tcPr>
            <w:tcW w:w="0" w:type="auto"/>
            <w:vAlign w:val="center"/>
            <w:hideMark/>
          </w:tcPr>
          <w:p w:rsidR="004E4D34" w:rsidRDefault="004E4D34">
            <w:pPr>
              <w:jc w:val="right"/>
              <w:rPr>
                <w:sz w:val="24"/>
                <w:szCs w:val="24"/>
              </w:rPr>
            </w:pPr>
            <w:r>
              <w:t xml:space="preserve">636  </w:t>
            </w:r>
          </w:p>
        </w:tc>
      </w:tr>
      <w:tr w:rsidR="004E4D34" w:rsidTr="004E4D34">
        <w:trPr>
          <w:tblCellSpacing w:w="0" w:type="dxa"/>
        </w:trPr>
        <w:tc>
          <w:tcPr>
            <w:tcW w:w="0" w:type="auto"/>
            <w:vAlign w:val="center"/>
            <w:hideMark/>
          </w:tcPr>
          <w:p w:rsidR="004E4D34" w:rsidRDefault="004E4D34">
            <w:pPr>
              <w:rPr>
                <w:sz w:val="24"/>
                <w:szCs w:val="24"/>
              </w:rPr>
            </w:pPr>
            <w:hyperlink r:id="rId15" w:history="1">
              <w:proofErr w:type="spellStart"/>
              <w:r>
                <w:rPr>
                  <w:rStyle w:val="Hyperlink"/>
                </w:rPr>
                <w:t>Inovalon</w:t>
              </w:r>
              <w:proofErr w:type="spellEnd"/>
              <w:r>
                <w:rPr>
                  <w:rStyle w:val="Hyperlink"/>
                </w:rPr>
                <w:t xml:space="preserve"> Holdings Inc</w:t>
              </w:r>
            </w:hyperlink>
            <w:r>
              <w:t xml:space="preserve"> </w:t>
            </w:r>
          </w:p>
        </w:tc>
        <w:tc>
          <w:tcPr>
            <w:tcW w:w="0" w:type="auto"/>
            <w:vAlign w:val="center"/>
            <w:hideMark/>
          </w:tcPr>
          <w:p w:rsidR="004E4D34" w:rsidRDefault="004E4D34">
            <w:pPr>
              <w:jc w:val="right"/>
              <w:rPr>
                <w:sz w:val="24"/>
                <w:szCs w:val="24"/>
              </w:rPr>
            </w:pPr>
            <w:r>
              <w:t xml:space="preserve">$18.23 </w:t>
            </w:r>
          </w:p>
        </w:tc>
        <w:tc>
          <w:tcPr>
            <w:tcW w:w="0" w:type="auto"/>
            <w:vAlign w:val="center"/>
            <w:hideMark/>
          </w:tcPr>
          <w:p w:rsidR="004E4D34" w:rsidRDefault="004E4D34">
            <w:pPr>
              <w:jc w:val="right"/>
              <w:rPr>
                <w:sz w:val="24"/>
                <w:szCs w:val="24"/>
              </w:rPr>
            </w:pPr>
            <w:r>
              <w:t xml:space="preserve">-4.35 </w:t>
            </w:r>
          </w:p>
        </w:tc>
        <w:tc>
          <w:tcPr>
            <w:tcW w:w="0" w:type="auto"/>
            <w:vAlign w:val="center"/>
            <w:hideMark/>
          </w:tcPr>
          <w:p w:rsidR="004E4D34" w:rsidRDefault="004E4D34">
            <w:pPr>
              <w:jc w:val="right"/>
              <w:rPr>
                <w:sz w:val="24"/>
                <w:szCs w:val="24"/>
              </w:rPr>
            </w:pPr>
          </w:p>
        </w:tc>
        <w:tc>
          <w:tcPr>
            <w:tcW w:w="0" w:type="auto"/>
            <w:vAlign w:val="center"/>
            <w:hideMark/>
          </w:tcPr>
          <w:p w:rsidR="004E4D34" w:rsidRDefault="004E4D34">
            <w:pPr>
              <w:jc w:val="right"/>
              <w:rPr>
                <w:sz w:val="24"/>
                <w:szCs w:val="24"/>
              </w:rPr>
            </w:pPr>
            <w:r>
              <w:t xml:space="preserve">437  </w:t>
            </w:r>
          </w:p>
        </w:tc>
      </w:tr>
      <w:tr w:rsidR="004E4D34" w:rsidTr="004E4D34">
        <w:trPr>
          <w:tblCellSpacing w:w="0" w:type="dxa"/>
        </w:trPr>
        <w:tc>
          <w:tcPr>
            <w:tcW w:w="0" w:type="auto"/>
            <w:vAlign w:val="center"/>
            <w:hideMark/>
          </w:tcPr>
          <w:p w:rsidR="004E4D34" w:rsidRDefault="004E4D34">
            <w:pPr>
              <w:rPr>
                <w:sz w:val="24"/>
                <w:szCs w:val="24"/>
              </w:rPr>
            </w:pPr>
            <w:hyperlink r:id="rId16" w:history="1">
              <w:proofErr w:type="spellStart"/>
              <w:r>
                <w:rPr>
                  <w:rStyle w:val="Hyperlink"/>
                </w:rPr>
                <w:t>Veeva</w:t>
              </w:r>
              <w:proofErr w:type="spellEnd"/>
              <w:r>
                <w:rPr>
                  <w:rStyle w:val="Hyperlink"/>
                </w:rPr>
                <w:t xml:space="preserve"> Systems Inc Class A</w:t>
              </w:r>
            </w:hyperlink>
            <w:r>
              <w:t xml:space="preserve"> </w:t>
            </w:r>
          </w:p>
        </w:tc>
        <w:tc>
          <w:tcPr>
            <w:tcW w:w="0" w:type="auto"/>
            <w:vAlign w:val="center"/>
            <w:hideMark/>
          </w:tcPr>
          <w:p w:rsidR="004E4D34" w:rsidRDefault="004E4D34">
            <w:pPr>
              <w:jc w:val="right"/>
              <w:rPr>
                <w:sz w:val="24"/>
                <w:szCs w:val="24"/>
              </w:rPr>
            </w:pPr>
            <w:r>
              <w:t xml:space="preserve">$26.66 </w:t>
            </w:r>
          </w:p>
        </w:tc>
        <w:tc>
          <w:tcPr>
            <w:tcW w:w="0" w:type="auto"/>
            <w:vAlign w:val="center"/>
            <w:hideMark/>
          </w:tcPr>
          <w:p w:rsidR="004E4D34" w:rsidRDefault="004E4D34">
            <w:pPr>
              <w:jc w:val="right"/>
              <w:rPr>
                <w:sz w:val="24"/>
                <w:szCs w:val="24"/>
              </w:rPr>
            </w:pPr>
            <w:r>
              <w:t xml:space="preserve">2.34 </w:t>
            </w:r>
          </w:p>
        </w:tc>
        <w:tc>
          <w:tcPr>
            <w:tcW w:w="0" w:type="auto"/>
            <w:vAlign w:val="center"/>
            <w:hideMark/>
          </w:tcPr>
          <w:p w:rsidR="004E4D34" w:rsidRDefault="004E4D34">
            <w:pPr>
              <w:jc w:val="right"/>
              <w:rPr>
                <w:sz w:val="24"/>
                <w:szCs w:val="24"/>
              </w:rPr>
            </w:pPr>
          </w:p>
        </w:tc>
        <w:tc>
          <w:tcPr>
            <w:tcW w:w="0" w:type="auto"/>
            <w:vAlign w:val="center"/>
            <w:hideMark/>
          </w:tcPr>
          <w:p w:rsidR="004E4D34" w:rsidRDefault="004E4D34">
            <w:pPr>
              <w:jc w:val="right"/>
              <w:rPr>
                <w:sz w:val="24"/>
                <w:szCs w:val="24"/>
              </w:rPr>
            </w:pPr>
            <w:r>
              <w:t xml:space="preserve">409  </w:t>
            </w:r>
          </w:p>
        </w:tc>
      </w:tr>
    </w:tbl>
    <w:p w:rsidR="004E4D34" w:rsidRDefault="004E4D34" w:rsidP="004E4D34">
      <w:hyperlink r:id="rId17" w:history="1">
        <w:r>
          <w:rPr>
            <w:rStyle w:val="Hyperlink"/>
          </w:rPr>
          <w:t>Compare These Stocks</w:t>
        </w:r>
      </w:hyperlink>
    </w:p>
    <w:p w:rsidR="004E4D34" w:rsidRDefault="004E4D34"/>
    <w:sectPr w:rsidR="004E4D34" w:rsidSect="00916FE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2E1284"/>
    <w:multiLevelType w:val="multilevel"/>
    <w:tmpl w:val="29589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C0F2246"/>
    <w:multiLevelType w:val="multilevel"/>
    <w:tmpl w:val="A2309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E4D34"/>
    <w:rsid w:val="004E4D34"/>
    <w:rsid w:val="00916FE1"/>
    <w:rsid w:val="00E60E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6FE1"/>
  </w:style>
  <w:style w:type="paragraph" w:styleId="Heading1">
    <w:name w:val="heading 1"/>
    <w:basedOn w:val="Normal"/>
    <w:link w:val="Heading1Char"/>
    <w:uiPriority w:val="9"/>
    <w:qFormat/>
    <w:rsid w:val="004E4D3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4E4D3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4E4D34"/>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link w:val="Heading5Char"/>
    <w:uiPriority w:val="9"/>
    <w:qFormat/>
    <w:rsid w:val="004E4D34"/>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4E4D34"/>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4D3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E4D34"/>
    <w:rPr>
      <w:rFonts w:ascii="Times New Roman" w:eastAsia="Times New Roman" w:hAnsi="Times New Roman" w:cs="Times New Roman"/>
      <w:b/>
      <w:bCs/>
      <w:sz w:val="36"/>
      <w:szCs w:val="36"/>
    </w:rPr>
  </w:style>
  <w:style w:type="character" w:customStyle="1" w:styleId="Heading5Char">
    <w:name w:val="Heading 5 Char"/>
    <w:basedOn w:val="DefaultParagraphFont"/>
    <w:link w:val="Heading5"/>
    <w:uiPriority w:val="9"/>
    <w:rsid w:val="004E4D34"/>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4E4D34"/>
    <w:rPr>
      <w:rFonts w:ascii="Times New Roman" w:eastAsia="Times New Roman" w:hAnsi="Times New Roman" w:cs="Times New Roman"/>
      <w:b/>
      <w:bCs/>
      <w:sz w:val="15"/>
      <w:szCs w:val="15"/>
    </w:rPr>
  </w:style>
  <w:style w:type="character" w:customStyle="1" w:styleId="gry">
    <w:name w:val="gry"/>
    <w:basedOn w:val="DefaultParagraphFont"/>
    <w:rsid w:val="004E4D34"/>
  </w:style>
  <w:style w:type="character" w:styleId="Hyperlink">
    <w:name w:val="Hyperlink"/>
    <w:basedOn w:val="DefaultParagraphFont"/>
    <w:uiPriority w:val="99"/>
    <w:semiHidden/>
    <w:unhideWhenUsed/>
    <w:rsid w:val="004E4D34"/>
    <w:rPr>
      <w:color w:val="0000FF"/>
      <w:u w:val="single"/>
    </w:rPr>
  </w:style>
  <w:style w:type="paragraph" w:styleId="NormalWeb">
    <w:name w:val="Normal (Web)"/>
    <w:basedOn w:val="Normal"/>
    <w:uiPriority w:val="99"/>
    <w:semiHidden/>
    <w:unhideWhenUsed/>
    <w:rsid w:val="004E4D3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E4D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4D34"/>
    <w:rPr>
      <w:rFonts w:ascii="Tahoma" w:hAnsi="Tahoma" w:cs="Tahoma"/>
      <w:sz w:val="16"/>
      <w:szCs w:val="16"/>
    </w:rPr>
  </w:style>
  <w:style w:type="character" w:customStyle="1" w:styleId="Heading3Char">
    <w:name w:val="Heading 3 Char"/>
    <w:basedOn w:val="DefaultParagraphFont"/>
    <w:link w:val="Heading3"/>
    <w:uiPriority w:val="9"/>
    <w:semiHidden/>
    <w:rsid w:val="004E4D34"/>
    <w:rPr>
      <w:rFonts w:asciiTheme="majorHAnsi" w:eastAsiaTheme="majorEastAsia" w:hAnsiTheme="majorHAnsi" w:cstheme="majorBidi"/>
      <w:b/>
      <w:bCs/>
      <w:color w:val="4F81BD" w:themeColor="accent1"/>
    </w:rPr>
  </w:style>
  <w:style w:type="character" w:customStyle="1" w:styleId="grtextmore">
    <w:name w:val="gr_text_more"/>
    <w:basedOn w:val="DefaultParagraphFont"/>
    <w:rsid w:val="004E4D34"/>
  </w:style>
</w:styles>
</file>

<file path=word/webSettings.xml><?xml version="1.0" encoding="utf-8"?>
<w:webSettings xmlns:r="http://schemas.openxmlformats.org/officeDocument/2006/relationships" xmlns:w="http://schemas.openxmlformats.org/wordprocessingml/2006/main">
  <w:divs>
    <w:div w:id="53938201">
      <w:bodyDiv w:val="1"/>
      <w:marLeft w:val="0"/>
      <w:marRight w:val="0"/>
      <w:marTop w:val="0"/>
      <w:marBottom w:val="0"/>
      <w:divBdr>
        <w:top w:val="none" w:sz="0" w:space="0" w:color="auto"/>
        <w:left w:val="none" w:sz="0" w:space="0" w:color="auto"/>
        <w:bottom w:val="none" w:sz="0" w:space="0" w:color="auto"/>
        <w:right w:val="none" w:sz="0" w:space="0" w:color="auto"/>
      </w:divBdr>
      <w:divsChild>
        <w:div w:id="1738504921">
          <w:marLeft w:val="0"/>
          <w:marRight w:val="0"/>
          <w:marTop w:val="0"/>
          <w:marBottom w:val="0"/>
          <w:divBdr>
            <w:top w:val="none" w:sz="0" w:space="0" w:color="auto"/>
            <w:left w:val="none" w:sz="0" w:space="0" w:color="auto"/>
            <w:bottom w:val="none" w:sz="0" w:space="0" w:color="auto"/>
            <w:right w:val="none" w:sz="0" w:space="0" w:color="auto"/>
          </w:divBdr>
          <w:divsChild>
            <w:div w:id="1844466828">
              <w:marLeft w:val="0"/>
              <w:marRight w:val="0"/>
              <w:marTop w:val="0"/>
              <w:marBottom w:val="0"/>
              <w:divBdr>
                <w:top w:val="none" w:sz="0" w:space="0" w:color="auto"/>
                <w:left w:val="none" w:sz="0" w:space="0" w:color="auto"/>
                <w:bottom w:val="none" w:sz="0" w:space="0" w:color="auto"/>
                <w:right w:val="none" w:sz="0" w:space="0" w:color="auto"/>
              </w:divBdr>
            </w:div>
            <w:div w:id="1221481594">
              <w:marLeft w:val="0"/>
              <w:marRight w:val="0"/>
              <w:marTop w:val="0"/>
              <w:marBottom w:val="0"/>
              <w:divBdr>
                <w:top w:val="none" w:sz="0" w:space="0" w:color="auto"/>
                <w:left w:val="none" w:sz="0" w:space="0" w:color="auto"/>
                <w:bottom w:val="none" w:sz="0" w:space="0" w:color="auto"/>
                <w:right w:val="none" w:sz="0" w:space="0" w:color="auto"/>
              </w:divBdr>
            </w:div>
          </w:divsChild>
        </w:div>
        <w:div w:id="1744335580">
          <w:marLeft w:val="0"/>
          <w:marRight w:val="0"/>
          <w:marTop w:val="0"/>
          <w:marBottom w:val="0"/>
          <w:divBdr>
            <w:top w:val="none" w:sz="0" w:space="0" w:color="auto"/>
            <w:left w:val="none" w:sz="0" w:space="0" w:color="auto"/>
            <w:bottom w:val="none" w:sz="0" w:space="0" w:color="auto"/>
            <w:right w:val="none" w:sz="0" w:space="0" w:color="auto"/>
          </w:divBdr>
        </w:div>
        <w:div w:id="107892755">
          <w:marLeft w:val="0"/>
          <w:marRight w:val="0"/>
          <w:marTop w:val="0"/>
          <w:marBottom w:val="0"/>
          <w:divBdr>
            <w:top w:val="none" w:sz="0" w:space="0" w:color="auto"/>
            <w:left w:val="none" w:sz="0" w:space="0" w:color="auto"/>
            <w:bottom w:val="none" w:sz="0" w:space="0" w:color="auto"/>
            <w:right w:val="none" w:sz="0" w:space="0" w:color="auto"/>
          </w:divBdr>
        </w:div>
      </w:divsChild>
    </w:div>
    <w:div w:id="1390033561">
      <w:bodyDiv w:val="1"/>
      <w:marLeft w:val="0"/>
      <w:marRight w:val="0"/>
      <w:marTop w:val="0"/>
      <w:marBottom w:val="0"/>
      <w:divBdr>
        <w:top w:val="none" w:sz="0" w:space="0" w:color="auto"/>
        <w:left w:val="none" w:sz="0" w:space="0" w:color="auto"/>
        <w:bottom w:val="none" w:sz="0" w:space="0" w:color="auto"/>
        <w:right w:val="none" w:sz="0" w:space="0" w:color="auto"/>
      </w:divBdr>
      <w:divsChild>
        <w:div w:id="1732727662">
          <w:marLeft w:val="0"/>
          <w:marRight w:val="0"/>
          <w:marTop w:val="0"/>
          <w:marBottom w:val="0"/>
          <w:divBdr>
            <w:top w:val="none" w:sz="0" w:space="0" w:color="auto"/>
            <w:left w:val="none" w:sz="0" w:space="0" w:color="auto"/>
            <w:bottom w:val="none" w:sz="0" w:space="0" w:color="auto"/>
            <w:right w:val="none" w:sz="0" w:space="0" w:color="auto"/>
          </w:divBdr>
          <w:divsChild>
            <w:div w:id="1371875126">
              <w:marLeft w:val="0"/>
              <w:marRight w:val="0"/>
              <w:marTop w:val="0"/>
              <w:marBottom w:val="0"/>
              <w:divBdr>
                <w:top w:val="none" w:sz="0" w:space="0" w:color="auto"/>
                <w:left w:val="none" w:sz="0" w:space="0" w:color="auto"/>
                <w:bottom w:val="none" w:sz="0" w:space="0" w:color="auto"/>
                <w:right w:val="none" w:sz="0" w:space="0" w:color="auto"/>
              </w:divBdr>
              <w:divsChild>
                <w:div w:id="980577443">
                  <w:marLeft w:val="0"/>
                  <w:marRight w:val="0"/>
                  <w:marTop w:val="0"/>
                  <w:marBottom w:val="0"/>
                  <w:divBdr>
                    <w:top w:val="none" w:sz="0" w:space="0" w:color="auto"/>
                    <w:left w:val="none" w:sz="0" w:space="0" w:color="auto"/>
                    <w:bottom w:val="none" w:sz="0" w:space="0" w:color="auto"/>
                    <w:right w:val="none" w:sz="0" w:space="0" w:color="auto"/>
                  </w:divBdr>
                  <w:divsChild>
                    <w:div w:id="1684086024">
                      <w:marLeft w:val="0"/>
                      <w:marRight w:val="0"/>
                      <w:marTop w:val="0"/>
                      <w:marBottom w:val="0"/>
                      <w:divBdr>
                        <w:top w:val="none" w:sz="0" w:space="0" w:color="auto"/>
                        <w:left w:val="none" w:sz="0" w:space="0" w:color="auto"/>
                        <w:bottom w:val="none" w:sz="0" w:space="0" w:color="auto"/>
                        <w:right w:val="none" w:sz="0" w:space="0" w:color="auto"/>
                      </w:divBdr>
                    </w:div>
                  </w:divsChild>
                </w:div>
                <w:div w:id="1162500932">
                  <w:marLeft w:val="0"/>
                  <w:marRight w:val="0"/>
                  <w:marTop w:val="0"/>
                  <w:marBottom w:val="0"/>
                  <w:divBdr>
                    <w:top w:val="none" w:sz="0" w:space="0" w:color="auto"/>
                    <w:left w:val="none" w:sz="0" w:space="0" w:color="auto"/>
                    <w:bottom w:val="none" w:sz="0" w:space="0" w:color="auto"/>
                    <w:right w:val="none" w:sz="0" w:space="0" w:color="auto"/>
                  </w:divBdr>
                  <w:divsChild>
                    <w:div w:id="1761174990">
                      <w:marLeft w:val="0"/>
                      <w:marRight w:val="0"/>
                      <w:marTop w:val="0"/>
                      <w:marBottom w:val="0"/>
                      <w:divBdr>
                        <w:top w:val="none" w:sz="0" w:space="0" w:color="auto"/>
                        <w:left w:val="none" w:sz="0" w:space="0" w:color="auto"/>
                        <w:bottom w:val="none" w:sz="0" w:space="0" w:color="auto"/>
                        <w:right w:val="none" w:sz="0" w:space="0" w:color="auto"/>
                      </w:divBdr>
                      <w:divsChild>
                        <w:div w:id="1442795083">
                          <w:marLeft w:val="0"/>
                          <w:marRight w:val="0"/>
                          <w:marTop w:val="0"/>
                          <w:marBottom w:val="0"/>
                          <w:divBdr>
                            <w:top w:val="none" w:sz="0" w:space="0" w:color="auto"/>
                            <w:left w:val="none" w:sz="0" w:space="0" w:color="auto"/>
                            <w:bottom w:val="none" w:sz="0" w:space="0" w:color="auto"/>
                            <w:right w:val="none" w:sz="0" w:space="0" w:color="auto"/>
                          </w:divBdr>
                        </w:div>
                        <w:div w:id="1940530018">
                          <w:marLeft w:val="0"/>
                          <w:marRight w:val="0"/>
                          <w:marTop w:val="0"/>
                          <w:marBottom w:val="0"/>
                          <w:divBdr>
                            <w:top w:val="single" w:sz="6" w:space="0" w:color="999999"/>
                            <w:left w:val="none" w:sz="0" w:space="0" w:color="auto"/>
                            <w:bottom w:val="none" w:sz="0" w:space="0" w:color="auto"/>
                            <w:right w:val="none" w:sz="0" w:space="0" w:color="auto"/>
                          </w:divBdr>
                          <w:divsChild>
                            <w:div w:id="218251088">
                              <w:marLeft w:val="0"/>
                              <w:marRight w:val="0"/>
                              <w:marTop w:val="0"/>
                              <w:marBottom w:val="0"/>
                              <w:divBdr>
                                <w:top w:val="none" w:sz="0" w:space="0" w:color="auto"/>
                                <w:left w:val="none" w:sz="0" w:space="0" w:color="auto"/>
                                <w:bottom w:val="none" w:sz="0" w:space="0" w:color="auto"/>
                                <w:right w:val="none" w:sz="0" w:space="0" w:color="auto"/>
                              </w:divBdr>
                              <w:divsChild>
                                <w:div w:id="1265193059">
                                  <w:marLeft w:val="0"/>
                                  <w:marRight w:val="0"/>
                                  <w:marTop w:val="0"/>
                                  <w:marBottom w:val="0"/>
                                  <w:divBdr>
                                    <w:top w:val="none" w:sz="0" w:space="0" w:color="auto"/>
                                    <w:left w:val="none" w:sz="0" w:space="0" w:color="auto"/>
                                    <w:bottom w:val="none" w:sz="0" w:space="0" w:color="auto"/>
                                    <w:right w:val="none" w:sz="0" w:space="0" w:color="auto"/>
                                  </w:divBdr>
                                  <w:divsChild>
                                    <w:div w:id="1068304025">
                                      <w:marLeft w:val="0"/>
                                      <w:marRight w:val="0"/>
                                      <w:marTop w:val="150"/>
                                      <w:marBottom w:val="0"/>
                                      <w:divBdr>
                                        <w:top w:val="none" w:sz="0" w:space="0" w:color="auto"/>
                                        <w:left w:val="none" w:sz="0" w:space="0" w:color="auto"/>
                                        <w:bottom w:val="none" w:sz="0" w:space="0" w:color="auto"/>
                                        <w:right w:val="none" w:sz="0" w:space="0" w:color="auto"/>
                                      </w:divBdr>
                                    </w:div>
                                    <w:div w:id="619606411">
                                      <w:marLeft w:val="0"/>
                                      <w:marRight w:val="0"/>
                                      <w:marTop w:val="0"/>
                                      <w:marBottom w:val="0"/>
                                      <w:divBdr>
                                        <w:top w:val="none" w:sz="0" w:space="0" w:color="auto"/>
                                        <w:left w:val="none" w:sz="0" w:space="0" w:color="auto"/>
                                        <w:bottom w:val="none" w:sz="0" w:space="0" w:color="auto"/>
                                        <w:right w:val="none" w:sz="0" w:space="0" w:color="auto"/>
                                      </w:divBdr>
                                    </w:div>
                                    <w:div w:id="339427093">
                                      <w:marLeft w:val="0"/>
                                      <w:marRight w:val="0"/>
                                      <w:marTop w:val="0"/>
                                      <w:marBottom w:val="0"/>
                                      <w:divBdr>
                                        <w:top w:val="none" w:sz="0" w:space="0" w:color="auto"/>
                                        <w:left w:val="none" w:sz="0" w:space="0" w:color="auto"/>
                                        <w:bottom w:val="none" w:sz="0" w:space="0" w:color="auto"/>
                                        <w:right w:val="none" w:sz="0" w:space="0" w:color="auto"/>
                                      </w:divBdr>
                                    </w:div>
                                    <w:div w:id="346833957">
                                      <w:marLeft w:val="0"/>
                                      <w:marRight w:val="0"/>
                                      <w:marTop w:val="0"/>
                                      <w:marBottom w:val="0"/>
                                      <w:divBdr>
                                        <w:top w:val="none" w:sz="0" w:space="0" w:color="auto"/>
                                        <w:left w:val="none" w:sz="0" w:space="0" w:color="auto"/>
                                        <w:bottom w:val="none" w:sz="0" w:space="0" w:color="auto"/>
                                        <w:right w:val="none" w:sz="0" w:space="0" w:color="auto"/>
                                      </w:divBdr>
                                      <w:divsChild>
                                        <w:div w:id="689991731">
                                          <w:marLeft w:val="0"/>
                                          <w:marRight w:val="0"/>
                                          <w:marTop w:val="0"/>
                                          <w:marBottom w:val="0"/>
                                          <w:divBdr>
                                            <w:top w:val="none" w:sz="0" w:space="0" w:color="auto"/>
                                            <w:left w:val="none" w:sz="0" w:space="0" w:color="auto"/>
                                            <w:bottom w:val="none" w:sz="0" w:space="0" w:color="auto"/>
                                            <w:right w:val="none" w:sz="0" w:space="0" w:color="auto"/>
                                          </w:divBdr>
                                        </w:div>
                                        <w:div w:id="190868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openDataDefs('//srt.morningstar.com/analyst/stock/MorningstarAnalysis?&amp;t=XNAS:CERN&amp;region=usa&amp;culture=en-US&amp;ops=clear&amp;cur=" TargetMode="External"/><Relationship Id="rId13" Type="http://schemas.openxmlformats.org/officeDocument/2006/relationships/hyperlink" Target="http://quotes.morningstar.com/stock/ATHN/s?t=0P00009PDK&amp;culture=en-U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openDefWin('//srt.morningstar.com/analyst/feedback_edit?&amp;t=XNAS:CERN&amp;region=usa&amp;culture=en-US&amp;ops=clear&amp;cur=',490,%20510)" TargetMode="External"/><Relationship Id="rId12" Type="http://schemas.openxmlformats.org/officeDocument/2006/relationships/hyperlink" Target="http://quotes.morningstar.com/stock/IMS/s?t=0P00012IIY&amp;culture=en-US" TargetMode="External"/><Relationship Id="rId17" Type="http://schemas.openxmlformats.org/officeDocument/2006/relationships/hyperlink" Target="http://screen.morningstar.com/Compare/Stock/StockCompareResults.html?CriteriaList=%7EATHN%7EGE%7EMCK%7EMDRX%7EUNH%7ECERN%7E" TargetMode="External"/><Relationship Id="rId2" Type="http://schemas.openxmlformats.org/officeDocument/2006/relationships/styles" Target="styles.xml"/><Relationship Id="rId16" Type="http://schemas.openxmlformats.org/officeDocument/2006/relationships/hyperlink" Target="http://quotes.morningstar.com/stock/VEEV/s?t=0P0000ZOOL&amp;culture=en-US" TargetMode="External"/><Relationship Id="rId1" Type="http://schemas.openxmlformats.org/officeDocument/2006/relationships/numbering" Target="numbering.xml"/><Relationship Id="rId6" Type="http://schemas.openxmlformats.org/officeDocument/2006/relationships/hyperlink" Target="http://srt.morningstar.com/analyst/stock/authorBio?t=CERN&amp;region=usa&amp;culture=en-US&amp;ops=clear" TargetMode="External"/><Relationship Id="rId11" Type="http://schemas.openxmlformats.org/officeDocument/2006/relationships/hyperlink" Target="javascript:chgTab('analyst');" TargetMode="External"/><Relationship Id="rId5" Type="http://schemas.openxmlformats.org/officeDocument/2006/relationships/image" Target="media/image1.jpeg"/><Relationship Id="rId15" Type="http://schemas.openxmlformats.org/officeDocument/2006/relationships/hyperlink" Target="http://quotes.morningstar.com/stock/INOV/s?t=0P00015BGX&amp;culture=en-US" TargetMode="External"/><Relationship Id="rId10" Type="http://schemas.openxmlformats.org/officeDocument/2006/relationships/hyperlink" Target="http://socialize.morningstar.com/NewSocialize/search/SearchResults.aspx?q=%22Cerner+Corp%22+or+CERN&amp;o=DateDescendin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quicktake.morningstar.com/StockNet/san.aspx?id=742002" TargetMode="External"/><Relationship Id="rId14" Type="http://schemas.openxmlformats.org/officeDocument/2006/relationships/hyperlink" Target="http://quotes.morningstar.com/stock/WBMD/s?t=0P000005VS&amp;culture=en-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1001</Words>
  <Characters>5707</Characters>
  <Application>Microsoft Office Word</Application>
  <DocSecurity>0</DocSecurity>
  <Lines>47</Lines>
  <Paragraphs>13</Paragraphs>
  <ScaleCrop>false</ScaleCrop>
  <Company/>
  <LinksUpToDate>false</LinksUpToDate>
  <CharactersWithSpaces>6695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c:creator>
  <cp:lastModifiedBy>Jo</cp:lastModifiedBy>
  <cp:revision>2</cp:revision>
  <dcterms:created xsi:type="dcterms:W3CDTF">2016-04-21T21:37:00Z</dcterms:created>
  <dcterms:modified xsi:type="dcterms:W3CDTF">2016-04-21T21:37:00Z</dcterms:modified>
</cp:coreProperties>
</file>