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B200EC" w:rsidP="00AB35FB">
      <w:pPr>
        <w:pStyle w:val="Heading1"/>
        <w:spacing w:after="0"/>
        <w:ind w:left="461"/>
        <w:rPr>
          <w:rStyle w:val="Heading1Char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922494" cy="67793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-OKI Logo with adjustme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710" cy="68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BC11F5" w:rsidRPr="006F6384" w:rsidRDefault="00CD5D3A" w:rsidP="00D43480">
      <w:pPr>
        <w:pStyle w:val="Heading1"/>
        <w:spacing w:after="0"/>
        <w:ind w:left="461"/>
        <w:rPr>
          <w:color w:val="auto"/>
        </w:rPr>
      </w:pPr>
      <w:r w:rsidRPr="00BC11F5">
        <w:t xml:space="preserve">Agenda for Sat. </w:t>
      </w:r>
      <w:r w:rsidR="00B67A47">
        <w:t>Mar 24</w:t>
      </w:r>
      <w:r w:rsidRPr="00BC11F5">
        <w:t>, 201</w:t>
      </w:r>
      <w:r w:rsidR="004F4BE0">
        <w:t>8</w:t>
      </w:r>
      <w:r w:rsidR="00D43480">
        <w:t xml:space="preserve"> / </w:t>
      </w:r>
      <w:r w:rsidR="00BC11F5" w:rsidRPr="007427A5">
        <w:rPr>
          <w:color w:val="auto"/>
        </w:rPr>
        <w:t xml:space="preserve">9:45 – 11:45AM </w:t>
      </w:r>
      <w:r w:rsidR="00F14FBE">
        <w:rPr>
          <w:color w:val="auto"/>
        </w:rPr>
        <w:t>Board Room</w:t>
      </w:r>
    </w:p>
    <w:p w:rsidR="007A7395" w:rsidRPr="000048F1" w:rsidRDefault="00BC11F5" w:rsidP="007A7395">
      <w:pPr>
        <w:spacing w:after="0"/>
        <w:ind w:left="720"/>
        <w:jc w:val="center"/>
        <w:rPr>
          <w:rFonts w:eastAsia="Times New Roman" w:cs="Times New Roman"/>
          <w:b/>
          <w:sz w:val="18"/>
          <w:szCs w:val="18"/>
          <w:u w:val="single" w:color="000000"/>
        </w:rPr>
      </w:pPr>
      <w:r w:rsidRPr="005B5A3E">
        <w:rPr>
          <w:rFonts w:eastAsia="Times New Roman" w:cs="Times New Roman"/>
          <w:b/>
          <w:sz w:val="18"/>
          <w:szCs w:val="18"/>
          <w:u w:val="single" w:color="000000"/>
        </w:rPr>
        <w:t>Midpointe</w:t>
      </w:r>
      <w:r w:rsidR="00CD5D3A" w:rsidRPr="005B5A3E">
        <w:rPr>
          <w:rFonts w:eastAsia="Times New Roman" w:cs="Times New Roman"/>
          <w:b/>
          <w:sz w:val="18"/>
          <w:szCs w:val="18"/>
          <w:u w:val="single" w:color="000000"/>
        </w:rPr>
        <w:t xml:space="preserve"> Library--9363 Centre </w:t>
      </w:r>
      <w:r w:rsidRPr="005B5A3E">
        <w:rPr>
          <w:rFonts w:eastAsia="Times New Roman" w:cs="Times New Roman"/>
          <w:b/>
          <w:sz w:val="18"/>
          <w:szCs w:val="18"/>
          <w:u w:val="single" w:color="000000"/>
        </w:rPr>
        <w:t>P</w:t>
      </w:r>
      <w:r w:rsidR="00AB3EA7" w:rsidRPr="005B5A3E">
        <w:rPr>
          <w:rFonts w:eastAsia="Times New Roman" w:cs="Times New Roman"/>
          <w:b/>
          <w:sz w:val="18"/>
          <w:szCs w:val="18"/>
          <w:u w:val="single" w:color="000000"/>
        </w:rPr>
        <w:t>ointe Drive, West C</w:t>
      </w:r>
      <w:r w:rsidR="00CD5D3A" w:rsidRPr="005B5A3E">
        <w:rPr>
          <w:rFonts w:eastAsia="Times New Roman" w:cs="Times New Roman"/>
          <w:b/>
          <w:sz w:val="18"/>
          <w:szCs w:val="18"/>
          <w:u w:val="single" w:color="000000"/>
        </w:rPr>
        <w:t>hester, OH 45069</w:t>
      </w:r>
    </w:p>
    <w:p w:rsidR="00096A21" w:rsidRDefault="00CD5D3A" w:rsidP="007A7395">
      <w:pPr>
        <w:spacing w:after="0"/>
        <w:ind w:left="720"/>
        <w:jc w:val="center"/>
        <w:rPr>
          <w:rFonts w:eastAsia="Times New Roman" w:cs="Times New Roman"/>
          <w:b/>
          <w:sz w:val="18"/>
          <w:szCs w:val="18"/>
        </w:rPr>
      </w:pPr>
      <w:r w:rsidRPr="009E433D">
        <w:rPr>
          <w:rFonts w:eastAsia="Times New Roman" w:cs="Times New Roman"/>
          <w:b/>
          <w:sz w:val="18"/>
          <w:szCs w:val="18"/>
          <w:u w:val="single"/>
        </w:rPr>
        <w:t>View our portfolio at</w:t>
      </w:r>
      <w:r w:rsidR="003625AD">
        <w:rPr>
          <w:rFonts w:eastAsia="Times New Roman" w:cs="Times New Roman"/>
          <w:b/>
          <w:sz w:val="18"/>
          <w:szCs w:val="18"/>
          <w:u w:val="single"/>
        </w:rPr>
        <w:t xml:space="preserve"> ManifestInvesting.com</w:t>
      </w:r>
      <w:r w:rsidRPr="009E433D">
        <w:rPr>
          <w:rFonts w:eastAsia="Times New Roman" w:cs="Times New Roman"/>
          <w:b/>
          <w:sz w:val="18"/>
          <w:szCs w:val="18"/>
          <w:u w:val="single"/>
        </w:rPr>
        <w:t xml:space="preserve">: </w:t>
      </w:r>
      <w:hyperlink r:id="rId6" w:history="1">
        <w:r w:rsidR="003625AD" w:rsidRPr="002A41FA">
          <w:rPr>
            <w:rStyle w:val="Hyperlink"/>
            <w:rFonts w:eastAsia="Times New Roman" w:cs="Times New Roman"/>
            <w:b/>
            <w:sz w:val="18"/>
            <w:szCs w:val="18"/>
          </w:rPr>
          <w:t>https://</w:t>
        </w:r>
        <w:r w:rsidR="008F4BA4" w:rsidRPr="008F4BA4">
          <w:t xml:space="preserve"> </w:t>
        </w:r>
        <w:r w:rsidR="008F4BA4" w:rsidRPr="008F4BA4">
          <w:rPr>
            <w:rStyle w:val="Hyperlink"/>
            <w:rFonts w:eastAsia="Times New Roman" w:cs="Times New Roman"/>
            <w:b/>
            <w:sz w:val="18"/>
            <w:szCs w:val="18"/>
          </w:rPr>
          <w:t>www.manifestinvesting.com/clubs/630/dashboards/39194</w:t>
        </w:r>
      </w:hyperlink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856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vAlign w:val="center"/>
          </w:tcPr>
          <w:p w:rsidR="00310A84" w:rsidRPr="00546D42" w:rsidRDefault="004F4424" w:rsidP="00A106D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B67A47">
              <w:rPr>
                <w:rFonts w:eastAsia="Times New Roman" w:cs="Times New Roman"/>
                <w:color w:val="auto"/>
              </w:rPr>
              <w:t>Feb 17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17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46D42" w:rsidRPr="00546D42">
              <w:rPr>
                <w:rFonts w:eastAsia="Times New Roman" w:cs="Times New Roman"/>
                <w:color w:val="auto"/>
              </w:rPr>
              <w:t>- p</w:t>
            </w:r>
            <w:r w:rsidR="00291369" w:rsidRPr="00546D42">
              <w:rPr>
                <w:rFonts w:eastAsia="Times New Roman" w:cs="Times New Roman"/>
                <w:color w:val="auto"/>
              </w:rPr>
              <w:t xml:space="preserve">osted </w:t>
            </w:r>
            <w:r w:rsidR="004D4428" w:rsidRPr="005C67A7">
              <w:rPr>
                <w:rFonts w:eastAsia="Times New Roman" w:cs="Times New Roman"/>
                <w:color w:val="auto"/>
              </w:rPr>
              <w:t xml:space="preserve">to BIVIO </w:t>
            </w:r>
            <w:r w:rsidR="005C67A7" w:rsidRPr="005C67A7">
              <w:rPr>
                <w:rFonts w:eastAsia="Times New Roman" w:cs="Times New Roman"/>
                <w:color w:val="auto"/>
              </w:rPr>
              <w:t>Feb 20</w:t>
            </w:r>
            <w:r w:rsidR="00F14FBE" w:rsidRPr="005C67A7">
              <w:rPr>
                <w:rFonts w:eastAsia="Times New Roman" w:cs="Times New Roman"/>
                <w:color w:val="auto"/>
              </w:rPr>
              <w:t>, 2018</w:t>
            </w:r>
            <w:r w:rsidR="00A61BD6" w:rsidRPr="005C67A7">
              <w:rPr>
                <w:rFonts w:eastAsia="Times New Roman" w:cs="Times New Roman"/>
                <w:color w:val="auto"/>
              </w:rPr>
              <w:t xml:space="preserve">. </w:t>
            </w:r>
            <w:r w:rsidR="00A61BD6">
              <w:rPr>
                <w:rFonts w:eastAsia="Times New Roman" w:cs="Times New Roman"/>
                <w:color w:val="auto"/>
              </w:rPr>
              <w:t>Corrections 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vAlign w:val="center"/>
          </w:tcPr>
          <w:p w:rsidR="00DA3DC2" w:rsidRPr="008250C4" w:rsidRDefault="003076C6" w:rsidP="00B93BF1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F247D8">
              <w:rPr>
                <w:color w:val="auto"/>
              </w:rPr>
              <w:t>balance $1,725.13.</w:t>
            </w:r>
            <w:r w:rsidR="004C6ABC" w:rsidRPr="00B67A47">
              <w:rPr>
                <w:color w:val="FF0000"/>
              </w:rPr>
              <w:t xml:space="preserve"> </w:t>
            </w:r>
            <w:r w:rsidR="003F5C5F">
              <w:rPr>
                <w:color w:val="auto"/>
              </w:rPr>
              <w:t>Status of audit, K-1s available on bivio</w:t>
            </w:r>
          </w:p>
        </w:tc>
      </w:tr>
      <w:tr w:rsidR="00310A8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10:0</w:t>
            </w:r>
            <w:r w:rsidR="000378A2">
              <w:rPr>
                <w:rFonts w:eastAsia="Times New Roman" w:cs="Times New Roman"/>
                <w:b/>
              </w:rPr>
              <w:t>0</w:t>
            </w:r>
            <w:r w:rsidR="00291369">
              <w:rPr>
                <w:rFonts w:eastAsia="Times New Roman" w:cs="Times New Roman"/>
                <w:b/>
              </w:rPr>
              <w:t xml:space="preserve"> Announcements</w:t>
            </w:r>
          </w:p>
        </w:tc>
        <w:tc>
          <w:tcPr>
            <w:tcW w:w="8560" w:type="dxa"/>
            <w:vAlign w:val="center"/>
          </w:tcPr>
          <w:p w:rsidR="00743C31" w:rsidRDefault="009217A6" w:rsidP="00E629AC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Classes and </w:t>
            </w:r>
            <w:r w:rsidR="00E629AC">
              <w:rPr>
                <w:color w:val="auto"/>
              </w:rPr>
              <w:t>webinars</w:t>
            </w:r>
            <w:r w:rsidR="00485769">
              <w:rPr>
                <w:color w:val="auto"/>
              </w:rPr>
              <w:t xml:space="preserve">: </w:t>
            </w:r>
            <w:r>
              <w:rPr>
                <w:color w:val="auto"/>
              </w:rPr>
              <w:t xml:space="preserve">see </w:t>
            </w:r>
            <w:r w:rsidR="00E629AC">
              <w:rPr>
                <w:color w:val="auto"/>
              </w:rPr>
              <w:t>BetterInvesting</w:t>
            </w:r>
            <w:r>
              <w:rPr>
                <w:color w:val="auto"/>
              </w:rPr>
              <w:t xml:space="preserve"> Magazine </w:t>
            </w:r>
            <w:r w:rsidR="00C80E2D">
              <w:rPr>
                <w:color w:val="auto"/>
              </w:rPr>
              <w:t>“</w:t>
            </w:r>
            <w:r w:rsidR="00485769">
              <w:rPr>
                <w:color w:val="auto"/>
              </w:rPr>
              <w:t>ONLINE” section opposite CONTENTS.</w:t>
            </w:r>
          </w:p>
          <w:p w:rsidR="006A5E1F" w:rsidRDefault="00C56E0C" w:rsidP="006A5E1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Or visit web site under Events.</w:t>
            </w:r>
            <w:r w:rsidR="007609D4">
              <w:rPr>
                <w:color w:val="auto"/>
              </w:rPr>
              <w:t xml:space="preserve"> </w:t>
            </w:r>
            <w:r w:rsidR="001F4217">
              <w:rPr>
                <w:color w:val="auto"/>
              </w:rPr>
              <w:t>OKI Chapter will have educ</w:t>
            </w:r>
            <w:r w:rsidR="009478D5">
              <w:rPr>
                <w:color w:val="auto"/>
              </w:rPr>
              <w:t>ational event on April 21, 2018 in Dayton.</w:t>
            </w:r>
            <w:r w:rsidR="00C42337">
              <w:rPr>
                <w:color w:val="auto"/>
              </w:rPr>
              <w:t xml:space="preserve"> </w:t>
            </w:r>
            <w:r w:rsidR="005B7B1D">
              <w:rPr>
                <w:color w:val="auto"/>
              </w:rPr>
              <w:t>(</w:t>
            </w:r>
            <w:proofErr w:type="gramStart"/>
            <w:r w:rsidR="005B7B1D">
              <w:rPr>
                <w:color w:val="auto"/>
              </w:rPr>
              <w:t>show</w:t>
            </w:r>
            <w:proofErr w:type="gramEnd"/>
            <w:r w:rsidR="005B7B1D">
              <w:rPr>
                <w:color w:val="auto"/>
              </w:rPr>
              <w:t xml:space="preserve"> flyer, </w:t>
            </w:r>
            <w:r w:rsidR="00C42337">
              <w:rPr>
                <w:color w:val="auto"/>
              </w:rPr>
              <w:t xml:space="preserve">Marty has </w:t>
            </w:r>
            <w:proofErr w:type="spellStart"/>
            <w:r w:rsidR="00C42337">
              <w:rPr>
                <w:color w:val="auto"/>
              </w:rPr>
              <w:t>Eventbrite</w:t>
            </w:r>
            <w:proofErr w:type="spellEnd"/>
            <w:r w:rsidR="00C42337">
              <w:rPr>
                <w:color w:val="auto"/>
              </w:rPr>
              <w:t xml:space="preserve"> link). Michele has link to </w:t>
            </w:r>
            <w:proofErr w:type="spellStart"/>
            <w:r w:rsidR="00C42337">
              <w:rPr>
                <w:color w:val="auto"/>
              </w:rPr>
              <w:t>CinMIC</w:t>
            </w:r>
            <w:proofErr w:type="spellEnd"/>
            <w:r w:rsidR="00C42337">
              <w:rPr>
                <w:color w:val="auto"/>
              </w:rPr>
              <w:t xml:space="preserve"> publicity</w:t>
            </w:r>
            <w:r w:rsidR="005B7B1D">
              <w:rPr>
                <w:color w:val="auto"/>
              </w:rPr>
              <w:t xml:space="preserve"> on </w:t>
            </w:r>
            <w:proofErr w:type="spellStart"/>
            <w:r w:rsidR="005B7B1D">
              <w:rPr>
                <w:color w:val="auto"/>
              </w:rPr>
              <w:t>Meetup</w:t>
            </w:r>
            <w:proofErr w:type="spellEnd"/>
            <w:r w:rsidR="00C42337">
              <w:rPr>
                <w:color w:val="auto"/>
              </w:rPr>
              <w:t>.</w:t>
            </w:r>
          </w:p>
          <w:p w:rsidR="00C56E0C" w:rsidRDefault="006A5E1F" w:rsidP="006A5E1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Other investing educational sessions: “</w:t>
            </w:r>
            <w:r w:rsidR="007B3D20">
              <w:rPr>
                <w:color w:val="auto"/>
              </w:rPr>
              <w:t xml:space="preserve">The </w:t>
            </w:r>
            <w:r w:rsidR="007609D4">
              <w:rPr>
                <w:color w:val="auto"/>
              </w:rPr>
              <w:t>Roundtable</w:t>
            </w:r>
            <w:r>
              <w:rPr>
                <w:color w:val="auto"/>
              </w:rPr>
              <w:t>”</w:t>
            </w:r>
            <w:r w:rsidR="007B3D20">
              <w:rPr>
                <w:color w:val="auto"/>
              </w:rPr>
              <w:t xml:space="preserve"> </w:t>
            </w:r>
            <w:r>
              <w:rPr>
                <w:color w:val="auto"/>
              </w:rPr>
              <w:t>and “Turn Out Tuesday” once</w:t>
            </w:r>
            <w:r w:rsidR="007609D4">
              <w:rPr>
                <w:color w:val="auto"/>
              </w:rPr>
              <w:t xml:space="preserve"> each month</w:t>
            </w:r>
            <w:r>
              <w:rPr>
                <w:color w:val="auto"/>
              </w:rPr>
              <w:t xml:space="preserve"> sponsored by BI Mid-Michigan</w:t>
            </w:r>
            <w:r w:rsidR="007609D4">
              <w:rPr>
                <w:color w:val="auto"/>
              </w:rPr>
              <w:t xml:space="preserve">. Register with </w:t>
            </w:r>
            <w:r w:rsidR="00A83657">
              <w:rPr>
                <w:color w:val="auto"/>
              </w:rPr>
              <w:t xml:space="preserve">both by contacting: </w:t>
            </w:r>
            <w:hyperlink r:id="rId7" w:history="1">
              <w:r w:rsidR="00843EF0" w:rsidRPr="00535D35">
                <w:rPr>
                  <w:rStyle w:val="Hyperlink"/>
                </w:rPr>
                <w:t>nkavula1@comcast.net</w:t>
              </w:r>
            </w:hyperlink>
            <w:r w:rsidR="007609D4">
              <w:rPr>
                <w:color w:val="auto"/>
              </w:rPr>
              <w:t>.</w:t>
            </w:r>
          </w:p>
          <w:p w:rsidR="00C42337" w:rsidRPr="008250C4" w:rsidRDefault="00843EF0" w:rsidP="006A5E1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Money Smart Week presentation on Morningstar at </w:t>
            </w:r>
            <w:proofErr w:type="spellStart"/>
            <w:r>
              <w:rPr>
                <w:color w:val="auto"/>
              </w:rPr>
              <w:t>MidPointe</w:t>
            </w:r>
            <w:proofErr w:type="spellEnd"/>
            <w:r>
              <w:rPr>
                <w:color w:val="auto"/>
              </w:rPr>
              <w:t xml:space="preserve"> Library – </w:t>
            </w:r>
            <w:r w:rsidR="00B4696B">
              <w:rPr>
                <w:color w:val="auto"/>
              </w:rPr>
              <w:t xml:space="preserve">Thu, </w:t>
            </w:r>
            <w:r>
              <w:rPr>
                <w:color w:val="auto"/>
              </w:rPr>
              <w:t>Apr 26, 7:00p, Room C</w:t>
            </w:r>
          </w:p>
        </w:tc>
      </w:tr>
      <w:tr w:rsidR="00310A8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310A84" w:rsidRDefault="008F2992" w:rsidP="00A03293">
            <w:pPr>
              <w:pStyle w:val="NoSpacing"/>
            </w:pPr>
            <w:r>
              <w:rPr>
                <w:rFonts w:eastAsia="Times New Roman" w:cs="Times New Roman"/>
                <w:b/>
              </w:rPr>
              <w:t>10:0</w:t>
            </w:r>
            <w:r w:rsidR="009217A6">
              <w:rPr>
                <w:rFonts w:eastAsia="Times New Roman" w:cs="Times New Roman"/>
                <w:b/>
              </w:rPr>
              <w:t>0</w:t>
            </w:r>
            <w:r w:rsidR="00B66636">
              <w:rPr>
                <w:rFonts w:eastAsia="Times New Roman" w:cs="Times New Roman"/>
                <w:b/>
              </w:rPr>
              <w:t xml:space="preserve"> Old Business</w:t>
            </w:r>
          </w:p>
        </w:tc>
        <w:tc>
          <w:tcPr>
            <w:tcW w:w="8560" w:type="dxa"/>
            <w:vAlign w:val="center"/>
          </w:tcPr>
          <w:p w:rsidR="00B301F0" w:rsidRPr="009479E2" w:rsidRDefault="00F14FBE" w:rsidP="00B67A4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Remin</w:t>
            </w:r>
            <w:r w:rsidR="00B4696B">
              <w:rPr>
                <w:color w:val="auto"/>
              </w:rPr>
              <w:t>der: Apr meeting date will be</w:t>
            </w:r>
            <w:r>
              <w:rPr>
                <w:color w:val="auto"/>
              </w:rPr>
              <w:t xml:space="preserve"> Apr 28</w:t>
            </w:r>
            <w:r w:rsidR="00837649">
              <w:rPr>
                <w:color w:val="auto"/>
              </w:rPr>
              <w:t xml:space="preserve"> in room C</w:t>
            </w:r>
            <w:r>
              <w:rPr>
                <w:color w:val="auto"/>
              </w:rPr>
              <w:t xml:space="preserve"> (conflict with Chapter Spring Event</w:t>
            </w:r>
            <w:r w:rsidR="00B4696B">
              <w:rPr>
                <w:color w:val="auto"/>
              </w:rPr>
              <w:t xml:space="preserve"> on Apr 21</w:t>
            </w:r>
            <w:r>
              <w:rPr>
                <w:color w:val="auto"/>
              </w:rPr>
              <w:t>)</w:t>
            </w:r>
          </w:p>
        </w:tc>
      </w:tr>
      <w:tr w:rsidR="00310A84" w:rsidTr="00D01AAA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B66636" w:rsidP="00A03293">
            <w:pPr>
              <w:pStyle w:val="NoSpacing"/>
            </w:pPr>
            <w:r>
              <w:rPr>
                <w:rFonts w:eastAsia="Times New Roman" w:cs="Times New Roman"/>
                <w:b/>
              </w:rPr>
              <w:t>10:</w:t>
            </w:r>
            <w:r w:rsidR="009217A6">
              <w:rPr>
                <w:rFonts w:eastAsia="Times New Roman" w:cs="Times New Roman"/>
                <w:b/>
              </w:rPr>
              <w:t>15</w:t>
            </w:r>
            <w:r>
              <w:rPr>
                <w:rFonts w:eastAsia="Times New Roman" w:cs="Times New Roman"/>
                <w:b/>
              </w:rPr>
              <w:t xml:space="preserve"> New Business</w:t>
            </w:r>
          </w:p>
        </w:tc>
        <w:tc>
          <w:tcPr>
            <w:tcW w:w="8560" w:type="dxa"/>
            <w:vAlign w:val="center"/>
          </w:tcPr>
          <w:p w:rsidR="00466CBD" w:rsidRPr="007A7395" w:rsidRDefault="003A79F4" w:rsidP="006C6FF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N</w:t>
            </w:r>
            <w:r w:rsidR="004F40BC">
              <w:rPr>
                <w:color w:val="auto"/>
              </w:rPr>
              <w:t>o room availa</w:t>
            </w:r>
            <w:r w:rsidR="00B67A47">
              <w:rPr>
                <w:color w:val="auto"/>
              </w:rPr>
              <w:t>ble for Sat, Apr 7 Mid-month – Webinar instead</w:t>
            </w:r>
          </w:p>
        </w:tc>
      </w:tr>
      <w:tr w:rsidR="00310A84" w:rsidTr="00462A6A">
        <w:trPr>
          <w:trHeight w:val="377"/>
          <w:jc w:val="center"/>
        </w:trPr>
        <w:tc>
          <w:tcPr>
            <w:tcW w:w="2330" w:type="dxa"/>
            <w:vAlign w:val="center"/>
          </w:tcPr>
          <w:p w:rsidR="00310A84" w:rsidRDefault="00B66636" w:rsidP="00A03293">
            <w:pPr>
              <w:pStyle w:val="NoSpacing"/>
            </w:pPr>
            <w:r>
              <w:rPr>
                <w:rFonts w:eastAsia="Times New Roman" w:cs="Times New Roman"/>
                <w:b/>
              </w:rPr>
              <w:t>10:</w:t>
            </w:r>
            <w:r w:rsidR="001D0800">
              <w:rPr>
                <w:rFonts w:eastAsia="Times New Roman" w:cs="Times New Roman"/>
                <w:b/>
              </w:rPr>
              <w:t>25</w:t>
            </w:r>
            <w:r>
              <w:rPr>
                <w:rFonts w:eastAsia="Times New Roman" w:cs="Times New Roman"/>
                <w:b/>
              </w:rPr>
              <w:t xml:space="preserve"> Education</w:t>
            </w:r>
          </w:p>
        </w:tc>
        <w:tc>
          <w:tcPr>
            <w:tcW w:w="8560" w:type="dxa"/>
            <w:vAlign w:val="center"/>
          </w:tcPr>
          <w:p w:rsidR="00310A84" w:rsidRPr="00EF754F" w:rsidRDefault="005C67A7" w:rsidP="007C2946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Frank/</w:t>
            </w:r>
            <w:r w:rsidRPr="005C67A7">
              <w:rPr>
                <w:color w:val="auto"/>
              </w:rPr>
              <w:t>Michele – Preferred Procedure</w:t>
            </w:r>
          </w:p>
        </w:tc>
      </w:tr>
      <w:tr w:rsidR="00310A84" w:rsidTr="00245103">
        <w:trPr>
          <w:trHeight w:val="422"/>
          <w:jc w:val="center"/>
        </w:trPr>
        <w:tc>
          <w:tcPr>
            <w:tcW w:w="2330" w:type="dxa"/>
            <w:vAlign w:val="center"/>
          </w:tcPr>
          <w:p w:rsidR="00310A84" w:rsidRDefault="00B66636" w:rsidP="000378A2">
            <w:pPr>
              <w:pStyle w:val="NoSpacing"/>
            </w:pPr>
            <w:r>
              <w:rPr>
                <w:rFonts w:eastAsia="Times New Roman" w:cs="Times New Roman"/>
                <w:b/>
              </w:rPr>
              <w:t>Stock Study</w:t>
            </w:r>
          </w:p>
        </w:tc>
        <w:tc>
          <w:tcPr>
            <w:tcW w:w="8560" w:type="dxa"/>
            <w:vAlign w:val="center"/>
          </w:tcPr>
          <w:p w:rsidR="00310A84" w:rsidRDefault="007609D4" w:rsidP="00D01AAA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None </w:t>
            </w:r>
            <w:r w:rsidR="00792B80">
              <w:rPr>
                <w:rFonts w:eastAsia="Times New Roman" w:cs="Times New Roman"/>
              </w:rPr>
              <w:t xml:space="preserve">to be presented at this meeting, see </w:t>
            </w:r>
            <w:r w:rsidR="005A4CAB">
              <w:rPr>
                <w:rFonts w:eastAsia="Times New Roman" w:cs="Times New Roman"/>
              </w:rPr>
              <w:t xml:space="preserve">in-depth </w:t>
            </w:r>
            <w:r w:rsidR="00792B80">
              <w:rPr>
                <w:rFonts w:eastAsia="Times New Roman" w:cs="Times New Roman"/>
              </w:rPr>
              <w:t>stock</w:t>
            </w:r>
            <w:r w:rsidR="002F0B63">
              <w:rPr>
                <w:rFonts w:eastAsia="Times New Roman" w:cs="Times New Roman"/>
              </w:rPr>
              <w:t>/portfolio</w:t>
            </w:r>
            <w:r w:rsidR="00792B80">
              <w:rPr>
                <w:rFonts w:eastAsia="Times New Roman" w:cs="Times New Roman"/>
              </w:rPr>
              <w:t xml:space="preserve"> review from Mid-Month Meeting.</w:t>
            </w:r>
          </w:p>
          <w:p w:rsidR="000C25C0" w:rsidRPr="00EF754F" w:rsidRDefault="000C25C0" w:rsidP="00D01AAA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</w:rPr>
              <w:t>Discuss stock selection committee and Stock Study/Education schedule</w:t>
            </w:r>
            <w:r w:rsidR="00B67A47">
              <w:rPr>
                <w:rFonts w:eastAsia="Times New Roman" w:cs="Times New Roman"/>
              </w:rPr>
              <w:t>. Stock study to resume with Gerry at Apr meeting</w:t>
            </w:r>
          </w:p>
        </w:tc>
      </w:tr>
      <w:tr w:rsidR="00A02EE5" w:rsidTr="00AC2F60">
        <w:trPr>
          <w:trHeight w:val="665"/>
          <w:jc w:val="center"/>
        </w:trPr>
        <w:tc>
          <w:tcPr>
            <w:tcW w:w="2330" w:type="dxa"/>
            <w:vAlign w:val="center"/>
          </w:tcPr>
          <w:p w:rsidR="00A02EE5" w:rsidRDefault="00D947B5" w:rsidP="00A03293">
            <w:pPr>
              <w:pStyle w:val="NoSpacing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</w:t>
            </w:r>
            <w:r w:rsidR="00A02EE5">
              <w:rPr>
                <w:rFonts w:eastAsia="Times New Roman" w:cs="Times New Roman"/>
                <w:b/>
              </w:rPr>
              <w:t>:</w:t>
            </w:r>
            <w:r w:rsidR="004207E4">
              <w:rPr>
                <w:rFonts w:eastAsia="Times New Roman" w:cs="Times New Roman"/>
                <w:b/>
              </w:rPr>
              <w:t>5</w:t>
            </w:r>
            <w:r>
              <w:rPr>
                <w:rFonts w:eastAsia="Times New Roman" w:cs="Times New Roman"/>
                <w:b/>
              </w:rPr>
              <w:t>5</w:t>
            </w:r>
            <w:r w:rsidR="00111B0B">
              <w:rPr>
                <w:rFonts w:eastAsia="Times New Roman" w:cs="Times New Roman"/>
                <w:b/>
              </w:rPr>
              <w:t xml:space="preserve"> Portfolio Analysis</w:t>
            </w:r>
          </w:p>
        </w:tc>
        <w:tc>
          <w:tcPr>
            <w:tcW w:w="8560" w:type="dxa"/>
            <w:vAlign w:val="center"/>
          </w:tcPr>
          <w:p w:rsidR="0055137B" w:rsidRDefault="00B67A47" w:rsidP="0081005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Jackie</w:t>
            </w:r>
            <w:r w:rsidR="005A4CAB">
              <w:rPr>
                <w:color w:val="auto"/>
              </w:rPr>
              <w:t>: review</w:t>
            </w:r>
            <w:r w:rsidR="00D01AAA">
              <w:rPr>
                <w:color w:val="auto"/>
              </w:rPr>
              <w:t xml:space="preserve"> and recomme</w:t>
            </w:r>
            <w:r w:rsidR="00F73BEE">
              <w:rPr>
                <w:color w:val="auto"/>
              </w:rPr>
              <w:t>ndation</w:t>
            </w:r>
            <w:r w:rsidR="00B03A17">
              <w:rPr>
                <w:color w:val="auto"/>
              </w:rPr>
              <w:t>s</w:t>
            </w:r>
            <w:r>
              <w:rPr>
                <w:color w:val="auto"/>
              </w:rPr>
              <w:t xml:space="preserve"> from Mid-Month Meeting review; AAPL</w:t>
            </w:r>
          </w:p>
          <w:p w:rsidR="002174D9" w:rsidRPr="00EF754F" w:rsidRDefault="00B60B93" w:rsidP="00A836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Marty</w:t>
            </w:r>
            <w:r w:rsidR="00A83657">
              <w:rPr>
                <w:color w:val="auto"/>
              </w:rPr>
              <w:t>:</w:t>
            </w:r>
            <w:r>
              <w:rPr>
                <w:color w:val="auto"/>
              </w:rPr>
              <w:t xml:space="preserve"> r</w:t>
            </w:r>
            <w:r w:rsidR="00A9132D">
              <w:rPr>
                <w:color w:val="auto"/>
              </w:rPr>
              <w:t>eview</w:t>
            </w:r>
            <w:r>
              <w:rPr>
                <w:color w:val="auto"/>
              </w:rPr>
              <w:t xml:space="preserve"> and discuss </w:t>
            </w:r>
            <w:r w:rsidR="0087757C">
              <w:rPr>
                <w:color w:val="auto"/>
              </w:rPr>
              <w:t>“Close of the</w:t>
            </w:r>
            <w:r w:rsidR="005B385A">
              <w:rPr>
                <w:color w:val="auto"/>
              </w:rPr>
              <w:t xml:space="preserve"> Bell”</w:t>
            </w:r>
            <w:r w:rsidR="00A9132D">
              <w:rPr>
                <w:color w:val="auto"/>
              </w:rPr>
              <w:t xml:space="preserve"> Portfolio</w:t>
            </w:r>
            <w:r w:rsidR="00D01AAA">
              <w:rPr>
                <w:color w:val="auto"/>
              </w:rPr>
              <w:t>.</w:t>
            </w:r>
            <w:r w:rsidR="00A83657">
              <w:rPr>
                <w:color w:val="auto"/>
              </w:rPr>
              <w:t xml:space="preserve"> </w:t>
            </w:r>
            <w:r w:rsidR="00D01AAA">
              <w:rPr>
                <w:color w:val="auto"/>
              </w:rPr>
              <w:t>Sell</w:t>
            </w:r>
            <w:r w:rsidR="00BB58F0">
              <w:rPr>
                <w:color w:val="auto"/>
              </w:rPr>
              <w:t>/Buy</w:t>
            </w:r>
            <w:r w:rsidR="00D01AAA">
              <w:rPr>
                <w:color w:val="auto"/>
              </w:rPr>
              <w:t xml:space="preserve"> recommendations and discussions.</w:t>
            </w:r>
          </w:p>
        </w:tc>
      </w:tr>
      <w:tr w:rsidR="007427A5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Default="00173276" w:rsidP="00310A84">
            <w:pPr>
              <w:pStyle w:val="NoSpacing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11:30 Buy/Hold</w:t>
            </w:r>
            <w:r w:rsidR="007427A5">
              <w:rPr>
                <w:rFonts w:eastAsia="Times New Roman" w:cs="Times New Roman"/>
                <w:b/>
              </w:rPr>
              <w:t>/ Sell</w:t>
            </w:r>
          </w:p>
        </w:tc>
        <w:tc>
          <w:tcPr>
            <w:tcW w:w="8560" w:type="dxa"/>
            <w:vAlign w:val="center"/>
          </w:tcPr>
          <w:p w:rsidR="009B79D0" w:rsidRPr="00EF754F" w:rsidRDefault="009A1E90" w:rsidP="009B79D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Report</w:t>
            </w:r>
            <w:r w:rsidR="00A519FA">
              <w:rPr>
                <w:color w:val="auto"/>
              </w:rPr>
              <w:t>s need to be done approximately ONE week before Saturday</w:t>
            </w:r>
            <w:r>
              <w:rPr>
                <w:color w:val="auto"/>
              </w:rPr>
              <w:t xml:space="preserve"> </w:t>
            </w:r>
            <w:r w:rsidR="00A519FA">
              <w:rPr>
                <w:color w:val="auto"/>
              </w:rPr>
              <w:t>m</w:t>
            </w:r>
            <w:r>
              <w:rPr>
                <w:color w:val="auto"/>
              </w:rPr>
              <w:t>eeting</w:t>
            </w:r>
            <w:r w:rsidR="001D7239">
              <w:rPr>
                <w:color w:val="auto"/>
              </w:rPr>
              <w:t>,</w:t>
            </w:r>
            <w:r>
              <w:rPr>
                <w:color w:val="auto"/>
              </w:rPr>
              <w:t xml:space="preserve"> d</w:t>
            </w:r>
            <w:r w:rsidR="00A9132D">
              <w:rPr>
                <w:color w:val="auto"/>
              </w:rPr>
              <w:t>iscuss Buy/Hold/</w:t>
            </w:r>
            <w:r w:rsidR="00A519FA">
              <w:rPr>
                <w:color w:val="auto"/>
              </w:rPr>
              <w:t>Sell</w:t>
            </w:r>
          </w:p>
        </w:tc>
      </w:tr>
    </w:tbl>
    <w:tbl>
      <w:tblPr>
        <w:tblW w:w="108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00"/>
        <w:gridCol w:w="1080"/>
        <w:gridCol w:w="1370"/>
        <w:gridCol w:w="1500"/>
        <w:gridCol w:w="1440"/>
        <w:gridCol w:w="900"/>
        <w:gridCol w:w="990"/>
        <w:gridCol w:w="1170"/>
      </w:tblGrid>
      <w:tr w:rsidR="00EE72C6" w:rsidRPr="00EE72C6" w:rsidTr="00B67A47">
        <w:trPr>
          <w:trHeight w:val="403"/>
          <w:jc w:val="center"/>
        </w:trPr>
        <w:tc>
          <w:tcPr>
            <w:tcW w:w="2330" w:type="dxa"/>
            <w:shd w:val="clear" w:color="auto" w:fill="auto"/>
            <w:vAlign w:val="bottom"/>
            <w:hideMark/>
          </w:tcPr>
          <w:p w:rsidR="00EE72C6" w:rsidRPr="00EE72C6" w:rsidRDefault="00EE72C6" w:rsidP="00B54D5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  <w:hideMark/>
          </w:tcPr>
          <w:p w:rsidR="00EE72C6" w:rsidRPr="00EE72C6" w:rsidRDefault="00EE72C6" w:rsidP="00A032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:rsidR="00EE72C6" w:rsidRPr="00EE72C6" w:rsidRDefault="00EE72C6" w:rsidP="00A032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bottom"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% of Portfolio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Year End</w:t>
            </w:r>
          </w:p>
        </w:tc>
      </w:tr>
      <w:tr w:rsidR="000C11E0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</w:tcPr>
          <w:p w:rsidR="000C11E0" w:rsidRPr="00EE72C6" w:rsidRDefault="000C11E0" w:rsidP="000C11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Apogee</w:t>
            </w:r>
          </w:p>
        </w:tc>
        <w:tc>
          <w:tcPr>
            <w:tcW w:w="1180" w:type="dxa"/>
            <w:gridSpan w:val="2"/>
            <w:shd w:val="clear" w:color="auto" w:fill="FFFFFF" w:themeFill="background1"/>
            <w:noWrap/>
            <w:vAlign w:val="bottom"/>
          </w:tcPr>
          <w:p w:rsidR="000C11E0" w:rsidRPr="00EE72C6" w:rsidRDefault="000C11E0" w:rsidP="000C11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APOG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</w:tcPr>
          <w:p w:rsidR="000C11E0" w:rsidRPr="00EE72C6" w:rsidRDefault="006F7F36" w:rsidP="000C11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</w:tcPr>
          <w:p w:rsidR="000C11E0" w:rsidRPr="00EE72C6" w:rsidRDefault="006F7F36" w:rsidP="000C11E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0C11E0" w:rsidRPr="00EE72C6" w:rsidRDefault="006F7F36" w:rsidP="000C11E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0C11E0" w:rsidRPr="00EE72C6" w:rsidRDefault="000C11E0" w:rsidP="000C11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0C11E0" w:rsidRPr="00EE72C6" w:rsidRDefault="000C11E0" w:rsidP="000C11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</w:tcPr>
          <w:p w:rsidR="000C11E0" w:rsidRPr="00EE72C6" w:rsidRDefault="000C11E0" w:rsidP="000C11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A4103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AAPL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Sep.</w:t>
            </w:r>
          </w:p>
        </w:tc>
      </w:tr>
      <w:tr w:rsidR="00DA4103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vAlign w:val="bottom"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A4103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Cerner  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CERN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Gregory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990" w:type="dxa"/>
            <w:vAlign w:val="bottom"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A4103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Cognizant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CTSH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vAlign w:val="bottom"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A4103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CVS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Latisha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0" w:type="dxa"/>
            <w:vAlign w:val="bottom"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A4103" w:rsidRPr="00EE72C6" w:rsidRDefault="00DA4103" w:rsidP="00DA41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A4961" w:rsidRPr="00EE72C6" w:rsidTr="00B67A47">
        <w:trPr>
          <w:trHeight w:val="260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A4961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A4961" w:rsidRPr="00EE72C6" w:rsidTr="00B67A47">
        <w:trPr>
          <w:trHeight w:val="25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Gilead 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GILD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Hold/Sell?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EE72C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A4961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Buy?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375</w:t>
            </w:r>
          </w:p>
        </w:tc>
        <w:tc>
          <w:tcPr>
            <w:tcW w:w="990" w:type="dxa"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A4961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Schlumberger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SLB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A4961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A4961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SBUX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Gerry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0" w:type="dxa"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Sep</w:t>
            </w:r>
          </w:p>
        </w:tc>
      </w:tr>
      <w:tr w:rsidR="003A4961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</w:tcPr>
          <w:p w:rsidR="003A4961" w:rsidRPr="00EE72C6" w:rsidRDefault="003A4961" w:rsidP="003A4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3A4961" w:rsidRPr="00EE72C6" w:rsidRDefault="003A4961" w:rsidP="003A4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  <w:r w:rsidRPr="00EE72C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3A4961" w:rsidRPr="00EE72C6" w:rsidTr="00D0260B">
        <w:trPr>
          <w:trHeight w:val="170"/>
          <w:jc w:val="center"/>
        </w:trPr>
        <w:tc>
          <w:tcPr>
            <w:tcW w:w="10880" w:type="dxa"/>
            <w:gridSpan w:val="9"/>
            <w:shd w:val="clear" w:color="auto" w:fill="auto"/>
            <w:noWrap/>
            <w:vAlign w:val="center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Pounce/Watch List</w:t>
            </w:r>
          </w:p>
        </w:tc>
      </w:tr>
      <w:tr w:rsidR="003A4961" w:rsidRPr="00EE72C6" w:rsidTr="00B67A47">
        <w:trPr>
          <w:trHeight w:val="170"/>
          <w:jc w:val="center"/>
        </w:trPr>
        <w:tc>
          <w:tcPr>
            <w:tcW w:w="2430" w:type="dxa"/>
            <w:gridSpan w:val="2"/>
            <w:shd w:val="clear" w:color="auto" w:fill="auto"/>
            <w:noWrap/>
            <w:vAlign w:val="center"/>
          </w:tcPr>
          <w:p w:rsidR="003A4961" w:rsidRPr="00EE72C6" w:rsidRDefault="003A4961" w:rsidP="003A4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4961" w:rsidRPr="00EE72C6" w:rsidRDefault="003A4961" w:rsidP="003A4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3A4961" w:rsidRPr="00EE72C6" w:rsidRDefault="003A4961" w:rsidP="003A4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IAS</w:t>
            </w:r>
          </w:p>
        </w:tc>
        <w:tc>
          <w:tcPr>
            <w:tcW w:w="2940" w:type="dxa"/>
            <w:gridSpan w:val="2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Buy Range: 130.4 to 238</w:t>
            </w:r>
          </w:p>
        </w:tc>
        <w:tc>
          <w:tcPr>
            <w:tcW w:w="900" w:type="dxa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3A4961" w:rsidRPr="00EE72C6" w:rsidRDefault="003A4961" w:rsidP="003A496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</w:tbl>
    <w:p w:rsidR="00A66B2D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3214C2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3214C2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3214C2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3214C2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>
        <w:rPr>
          <w:rFonts w:eastAsia="Times New Roman" w:cs="Times New Roman"/>
          <w:b/>
          <w:color w:val="auto"/>
          <w:sz w:val="18"/>
          <w:szCs w:val="18"/>
        </w:rPr>
        <w:t>Apr 7</w:t>
      </w:r>
      <w:r w:rsidR="003214C2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3214C2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3214C2">
        <w:rPr>
          <w:rFonts w:eastAsia="Times New Roman" w:cs="Times New Roman"/>
          <w:b/>
          <w:color w:val="auto"/>
          <w:sz w:val="18"/>
          <w:szCs w:val="18"/>
        </w:rPr>
        <w:t>:</w:t>
      </w:r>
      <w:r w:rsidR="00B67A47">
        <w:rPr>
          <w:rFonts w:eastAsia="Times New Roman" w:cs="Times New Roman"/>
          <w:b/>
          <w:color w:val="auto"/>
          <w:sz w:val="18"/>
          <w:szCs w:val="18"/>
        </w:rPr>
        <w:t xml:space="preserve"> Apr 28</w:t>
      </w:r>
      <w:r w:rsidR="009359AB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>
        <w:rPr>
          <w:rFonts w:eastAsia="Times New Roman" w:cs="Times New Roman"/>
          <w:b/>
          <w:color w:val="auto"/>
          <w:sz w:val="18"/>
          <w:szCs w:val="18"/>
        </w:rPr>
        <w:t>Room C</w:t>
      </w:r>
      <w:r w:rsidR="00022D71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</w:p>
    <w:p w:rsidR="004E794C" w:rsidRDefault="00B67A47" w:rsidP="009D03F1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Apr</w:t>
      </w:r>
      <w:r w:rsidR="00B03113">
        <w:rPr>
          <w:rFonts w:eastAsia="Times New Roman" w:cs="Times New Roman"/>
          <w:b/>
          <w:color w:val="auto"/>
          <w:sz w:val="18"/>
          <w:szCs w:val="18"/>
        </w:rPr>
        <w:t xml:space="preserve"> Education:</w:t>
      </w:r>
      <w:r>
        <w:rPr>
          <w:rFonts w:eastAsia="Times New Roman" w:cs="Times New Roman"/>
          <w:b/>
          <w:color w:val="auto"/>
          <w:sz w:val="18"/>
          <w:szCs w:val="18"/>
        </w:rPr>
        <w:t xml:space="preserve"> Harrison;</w:t>
      </w:r>
      <w:r w:rsidR="00527643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>
        <w:rPr>
          <w:rFonts w:eastAsia="Times New Roman" w:cs="Times New Roman"/>
          <w:b/>
          <w:color w:val="auto"/>
          <w:sz w:val="18"/>
          <w:szCs w:val="18"/>
        </w:rPr>
        <w:t>Stock Study: Gerry</w:t>
      </w:r>
    </w:p>
    <w:p w:rsidR="004E794C" w:rsidRDefault="004E794C" w:rsidP="004E794C">
      <w:r>
        <w:br w:type="page"/>
      </w:r>
    </w:p>
    <w:p w:rsidR="00DB5460" w:rsidRDefault="004E794C" w:rsidP="009D03F1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7223760" cy="2247392"/>
            <wp:effectExtent l="0" t="0" r="0" b="635"/>
            <wp:docPr id="2" name="Picture 2" descr="Boss Has Investment Tips For Asok - Dilbert by Scott Ad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ss Has Investment Tips For Asok - Dilbert by Scott Adams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224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460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3E30"/>
    <w:rsid w:val="000048F1"/>
    <w:rsid w:val="00022D71"/>
    <w:rsid w:val="000311E8"/>
    <w:rsid w:val="0003188A"/>
    <w:rsid w:val="00034AC0"/>
    <w:rsid w:val="00036CB2"/>
    <w:rsid w:val="000378A2"/>
    <w:rsid w:val="00040ACF"/>
    <w:rsid w:val="00040C49"/>
    <w:rsid w:val="00050AF0"/>
    <w:rsid w:val="00051F63"/>
    <w:rsid w:val="000554BE"/>
    <w:rsid w:val="00060B46"/>
    <w:rsid w:val="00074F4D"/>
    <w:rsid w:val="000753E0"/>
    <w:rsid w:val="00077EDB"/>
    <w:rsid w:val="000830E3"/>
    <w:rsid w:val="00084559"/>
    <w:rsid w:val="00094076"/>
    <w:rsid w:val="00094A3B"/>
    <w:rsid w:val="00096A21"/>
    <w:rsid w:val="000A6182"/>
    <w:rsid w:val="000A70DD"/>
    <w:rsid w:val="000A75F1"/>
    <w:rsid w:val="000C11E0"/>
    <w:rsid w:val="000C25C0"/>
    <w:rsid w:val="000C3F43"/>
    <w:rsid w:val="000E27C3"/>
    <w:rsid w:val="000E5B80"/>
    <w:rsid w:val="000E67EE"/>
    <w:rsid w:val="000E7B5A"/>
    <w:rsid w:val="000F29E8"/>
    <w:rsid w:val="000F4008"/>
    <w:rsid w:val="00102ED7"/>
    <w:rsid w:val="00111B0B"/>
    <w:rsid w:val="00112853"/>
    <w:rsid w:val="001156F3"/>
    <w:rsid w:val="00116762"/>
    <w:rsid w:val="001314E2"/>
    <w:rsid w:val="00166687"/>
    <w:rsid w:val="00173276"/>
    <w:rsid w:val="001744C3"/>
    <w:rsid w:val="00181154"/>
    <w:rsid w:val="001A1848"/>
    <w:rsid w:val="001A5255"/>
    <w:rsid w:val="001B25CD"/>
    <w:rsid w:val="001B5840"/>
    <w:rsid w:val="001C3B51"/>
    <w:rsid w:val="001C42EC"/>
    <w:rsid w:val="001D0800"/>
    <w:rsid w:val="001D0DB5"/>
    <w:rsid w:val="001D452D"/>
    <w:rsid w:val="001D7239"/>
    <w:rsid w:val="001E29E7"/>
    <w:rsid w:val="001F07BC"/>
    <w:rsid w:val="001F29F6"/>
    <w:rsid w:val="001F4217"/>
    <w:rsid w:val="001F65D0"/>
    <w:rsid w:val="00203FDD"/>
    <w:rsid w:val="002127A4"/>
    <w:rsid w:val="0021420B"/>
    <w:rsid w:val="00215A39"/>
    <w:rsid w:val="002174D9"/>
    <w:rsid w:val="00233797"/>
    <w:rsid w:val="00243E0D"/>
    <w:rsid w:val="002446B8"/>
    <w:rsid w:val="00245103"/>
    <w:rsid w:val="0024683B"/>
    <w:rsid w:val="00255851"/>
    <w:rsid w:val="00267280"/>
    <w:rsid w:val="00277EE0"/>
    <w:rsid w:val="002803BB"/>
    <w:rsid w:val="00280AD6"/>
    <w:rsid w:val="002822EF"/>
    <w:rsid w:val="00283AD1"/>
    <w:rsid w:val="00291369"/>
    <w:rsid w:val="00296A5F"/>
    <w:rsid w:val="002A219B"/>
    <w:rsid w:val="002A4E19"/>
    <w:rsid w:val="002A4EFB"/>
    <w:rsid w:val="002B0C50"/>
    <w:rsid w:val="002B13A5"/>
    <w:rsid w:val="002B5C41"/>
    <w:rsid w:val="002C10AF"/>
    <w:rsid w:val="002C7BAB"/>
    <w:rsid w:val="002D0EBE"/>
    <w:rsid w:val="002D133B"/>
    <w:rsid w:val="002D3B2E"/>
    <w:rsid w:val="002E2EE7"/>
    <w:rsid w:val="002F0B63"/>
    <w:rsid w:val="002F2F3E"/>
    <w:rsid w:val="002F4680"/>
    <w:rsid w:val="002F542B"/>
    <w:rsid w:val="002F72A2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698"/>
    <w:rsid w:val="00343905"/>
    <w:rsid w:val="003471CB"/>
    <w:rsid w:val="003547F0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7D74"/>
    <w:rsid w:val="00390139"/>
    <w:rsid w:val="003A16F4"/>
    <w:rsid w:val="003A210E"/>
    <w:rsid w:val="003A4961"/>
    <w:rsid w:val="003A5180"/>
    <w:rsid w:val="003A79F4"/>
    <w:rsid w:val="003B37F2"/>
    <w:rsid w:val="003B3BF0"/>
    <w:rsid w:val="003B4D0D"/>
    <w:rsid w:val="003B604E"/>
    <w:rsid w:val="003B7EE6"/>
    <w:rsid w:val="003C5F62"/>
    <w:rsid w:val="003C6326"/>
    <w:rsid w:val="003C6F61"/>
    <w:rsid w:val="003D14BB"/>
    <w:rsid w:val="003D1990"/>
    <w:rsid w:val="003D64B1"/>
    <w:rsid w:val="003E669B"/>
    <w:rsid w:val="003F360C"/>
    <w:rsid w:val="003F5C5F"/>
    <w:rsid w:val="003F74D4"/>
    <w:rsid w:val="00414FA5"/>
    <w:rsid w:val="00416044"/>
    <w:rsid w:val="004207E4"/>
    <w:rsid w:val="004366D9"/>
    <w:rsid w:val="004412AD"/>
    <w:rsid w:val="00446506"/>
    <w:rsid w:val="00452D6A"/>
    <w:rsid w:val="00462A6A"/>
    <w:rsid w:val="0046354B"/>
    <w:rsid w:val="00466CBD"/>
    <w:rsid w:val="00471B24"/>
    <w:rsid w:val="004805A8"/>
    <w:rsid w:val="00485769"/>
    <w:rsid w:val="00485EE5"/>
    <w:rsid w:val="0049060C"/>
    <w:rsid w:val="00495219"/>
    <w:rsid w:val="004A2B6B"/>
    <w:rsid w:val="004A2FD5"/>
    <w:rsid w:val="004A4CB2"/>
    <w:rsid w:val="004A64CC"/>
    <w:rsid w:val="004B143F"/>
    <w:rsid w:val="004B3468"/>
    <w:rsid w:val="004C6ABC"/>
    <w:rsid w:val="004D4428"/>
    <w:rsid w:val="004D4730"/>
    <w:rsid w:val="004D58A8"/>
    <w:rsid w:val="004E3F7A"/>
    <w:rsid w:val="004E55BE"/>
    <w:rsid w:val="004E5C36"/>
    <w:rsid w:val="004E632A"/>
    <w:rsid w:val="004E794C"/>
    <w:rsid w:val="004F40BC"/>
    <w:rsid w:val="004F4424"/>
    <w:rsid w:val="004F4BE0"/>
    <w:rsid w:val="00502E1A"/>
    <w:rsid w:val="00503EDC"/>
    <w:rsid w:val="00504113"/>
    <w:rsid w:val="00507061"/>
    <w:rsid w:val="005113AF"/>
    <w:rsid w:val="00512804"/>
    <w:rsid w:val="00512D7B"/>
    <w:rsid w:val="00525B49"/>
    <w:rsid w:val="00527643"/>
    <w:rsid w:val="005361BD"/>
    <w:rsid w:val="00540B34"/>
    <w:rsid w:val="00546D42"/>
    <w:rsid w:val="00550202"/>
    <w:rsid w:val="00550B1E"/>
    <w:rsid w:val="0055137B"/>
    <w:rsid w:val="005538AC"/>
    <w:rsid w:val="0055450C"/>
    <w:rsid w:val="00555893"/>
    <w:rsid w:val="00561A12"/>
    <w:rsid w:val="005670FE"/>
    <w:rsid w:val="005732FD"/>
    <w:rsid w:val="00575FD0"/>
    <w:rsid w:val="0058344E"/>
    <w:rsid w:val="00583AD1"/>
    <w:rsid w:val="00584DFD"/>
    <w:rsid w:val="00597883"/>
    <w:rsid w:val="005A01D9"/>
    <w:rsid w:val="005A4CAB"/>
    <w:rsid w:val="005A6EB0"/>
    <w:rsid w:val="005B1359"/>
    <w:rsid w:val="005B385A"/>
    <w:rsid w:val="005B5A3E"/>
    <w:rsid w:val="005B7B1D"/>
    <w:rsid w:val="005C007D"/>
    <w:rsid w:val="005C52B4"/>
    <w:rsid w:val="005C67A7"/>
    <w:rsid w:val="005C75BE"/>
    <w:rsid w:val="005C7BB9"/>
    <w:rsid w:val="005F5232"/>
    <w:rsid w:val="00600EB4"/>
    <w:rsid w:val="0060376B"/>
    <w:rsid w:val="0061155B"/>
    <w:rsid w:val="00622957"/>
    <w:rsid w:val="006260A5"/>
    <w:rsid w:val="006324BC"/>
    <w:rsid w:val="0065406D"/>
    <w:rsid w:val="00655412"/>
    <w:rsid w:val="006622CA"/>
    <w:rsid w:val="00662773"/>
    <w:rsid w:val="006634AF"/>
    <w:rsid w:val="00663644"/>
    <w:rsid w:val="00663EE1"/>
    <w:rsid w:val="0066502C"/>
    <w:rsid w:val="00670F3B"/>
    <w:rsid w:val="00675E60"/>
    <w:rsid w:val="00677A23"/>
    <w:rsid w:val="00681866"/>
    <w:rsid w:val="00682C36"/>
    <w:rsid w:val="0068330F"/>
    <w:rsid w:val="0068539D"/>
    <w:rsid w:val="006910F1"/>
    <w:rsid w:val="006978C3"/>
    <w:rsid w:val="006A488F"/>
    <w:rsid w:val="006A5E1F"/>
    <w:rsid w:val="006C6455"/>
    <w:rsid w:val="006C6FFD"/>
    <w:rsid w:val="006D4A27"/>
    <w:rsid w:val="006D5630"/>
    <w:rsid w:val="006D6279"/>
    <w:rsid w:val="006F2AD1"/>
    <w:rsid w:val="006F3B9C"/>
    <w:rsid w:val="006F6384"/>
    <w:rsid w:val="006F7F36"/>
    <w:rsid w:val="00702BE3"/>
    <w:rsid w:val="00704617"/>
    <w:rsid w:val="00710BE2"/>
    <w:rsid w:val="007149B0"/>
    <w:rsid w:val="00714D20"/>
    <w:rsid w:val="00722B72"/>
    <w:rsid w:val="00724435"/>
    <w:rsid w:val="00726E78"/>
    <w:rsid w:val="0073756B"/>
    <w:rsid w:val="007427A5"/>
    <w:rsid w:val="00743C31"/>
    <w:rsid w:val="00744B69"/>
    <w:rsid w:val="00756942"/>
    <w:rsid w:val="007609D4"/>
    <w:rsid w:val="007617EF"/>
    <w:rsid w:val="00763DD7"/>
    <w:rsid w:val="00771A73"/>
    <w:rsid w:val="007749CA"/>
    <w:rsid w:val="00792B80"/>
    <w:rsid w:val="007A0FF6"/>
    <w:rsid w:val="007A7395"/>
    <w:rsid w:val="007B35F6"/>
    <w:rsid w:val="007B3D20"/>
    <w:rsid w:val="007C2523"/>
    <w:rsid w:val="007C2946"/>
    <w:rsid w:val="007D0584"/>
    <w:rsid w:val="007D35A7"/>
    <w:rsid w:val="007D7E89"/>
    <w:rsid w:val="007E1859"/>
    <w:rsid w:val="007E1F9B"/>
    <w:rsid w:val="007E36AC"/>
    <w:rsid w:val="007E5DCF"/>
    <w:rsid w:val="007E636C"/>
    <w:rsid w:val="007F3CC5"/>
    <w:rsid w:val="007F520D"/>
    <w:rsid w:val="008010FE"/>
    <w:rsid w:val="0081005F"/>
    <w:rsid w:val="00811387"/>
    <w:rsid w:val="008226D5"/>
    <w:rsid w:val="0082340E"/>
    <w:rsid w:val="008250C4"/>
    <w:rsid w:val="008346FF"/>
    <w:rsid w:val="00837649"/>
    <w:rsid w:val="00843EF0"/>
    <w:rsid w:val="008456C8"/>
    <w:rsid w:val="00852779"/>
    <w:rsid w:val="008540C6"/>
    <w:rsid w:val="0085646F"/>
    <w:rsid w:val="00865481"/>
    <w:rsid w:val="00870440"/>
    <w:rsid w:val="0087190D"/>
    <w:rsid w:val="00873FBC"/>
    <w:rsid w:val="00874FFE"/>
    <w:rsid w:val="0087757C"/>
    <w:rsid w:val="008816D8"/>
    <w:rsid w:val="008920D7"/>
    <w:rsid w:val="00893838"/>
    <w:rsid w:val="00897C30"/>
    <w:rsid w:val="008A37CE"/>
    <w:rsid w:val="008A3F2D"/>
    <w:rsid w:val="008A6D06"/>
    <w:rsid w:val="008B7580"/>
    <w:rsid w:val="008C23F4"/>
    <w:rsid w:val="008C452D"/>
    <w:rsid w:val="008C4EC2"/>
    <w:rsid w:val="008D57AF"/>
    <w:rsid w:val="008E3B1C"/>
    <w:rsid w:val="008F2992"/>
    <w:rsid w:val="008F4BA4"/>
    <w:rsid w:val="008F6827"/>
    <w:rsid w:val="008F78F9"/>
    <w:rsid w:val="00903DA5"/>
    <w:rsid w:val="00907B54"/>
    <w:rsid w:val="00911836"/>
    <w:rsid w:val="00912E1B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59AB"/>
    <w:rsid w:val="00936EDA"/>
    <w:rsid w:val="00947656"/>
    <w:rsid w:val="009478D5"/>
    <w:rsid w:val="009479E2"/>
    <w:rsid w:val="00952D6E"/>
    <w:rsid w:val="00956F35"/>
    <w:rsid w:val="00957C64"/>
    <w:rsid w:val="009649CF"/>
    <w:rsid w:val="009667E3"/>
    <w:rsid w:val="00975360"/>
    <w:rsid w:val="00981BC6"/>
    <w:rsid w:val="00982D73"/>
    <w:rsid w:val="00983B86"/>
    <w:rsid w:val="00986F3B"/>
    <w:rsid w:val="009A0FC9"/>
    <w:rsid w:val="009A1E90"/>
    <w:rsid w:val="009A61FA"/>
    <w:rsid w:val="009A6252"/>
    <w:rsid w:val="009B0985"/>
    <w:rsid w:val="009B1608"/>
    <w:rsid w:val="009B2671"/>
    <w:rsid w:val="009B44A1"/>
    <w:rsid w:val="009B79D0"/>
    <w:rsid w:val="009C1D07"/>
    <w:rsid w:val="009C24DF"/>
    <w:rsid w:val="009C5B00"/>
    <w:rsid w:val="009D03F1"/>
    <w:rsid w:val="009D46F7"/>
    <w:rsid w:val="009E03DF"/>
    <w:rsid w:val="009E26AE"/>
    <w:rsid w:val="009E3F2C"/>
    <w:rsid w:val="009E433D"/>
    <w:rsid w:val="009E5EA5"/>
    <w:rsid w:val="009F071A"/>
    <w:rsid w:val="009F4F56"/>
    <w:rsid w:val="00A02EE5"/>
    <w:rsid w:val="00A0306C"/>
    <w:rsid w:val="00A03293"/>
    <w:rsid w:val="00A1066D"/>
    <w:rsid w:val="00A106D4"/>
    <w:rsid w:val="00A20004"/>
    <w:rsid w:val="00A25872"/>
    <w:rsid w:val="00A36816"/>
    <w:rsid w:val="00A3774E"/>
    <w:rsid w:val="00A40EAB"/>
    <w:rsid w:val="00A44AB2"/>
    <w:rsid w:val="00A459CE"/>
    <w:rsid w:val="00A45A7B"/>
    <w:rsid w:val="00A519FA"/>
    <w:rsid w:val="00A6153F"/>
    <w:rsid w:val="00A61BD6"/>
    <w:rsid w:val="00A66B2D"/>
    <w:rsid w:val="00A70B8B"/>
    <w:rsid w:val="00A83657"/>
    <w:rsid w:val="00A858D0"/>
    <w:rsid w:val="00A9132D"/>
    <w:rsid w:val="00A93840"/>
    <w:rsid w:val="00AA047D"/>
    <w:rsid w:val="00AA04BE"/>
    <w:rsid w:val="00AA18DB"/>
    <w:rsid w:val="00AB04F2"/>
    <w:rsid w:val="00AB237B"/>
    <w:rsid w:val="00AB35FB"/>
    <w:rsid w:val="00AB3EA7"/>
    <w:rsid w:val="00AC2F60"/>
    <w:rsid w:val="00AE5DD7"/>
    <w:rsid w:val="00AF7FF1"/>
    <w:rsid w:val="00B0031A"/>
    <w:rsid w:val="00B03113"/>
    <w:rsid w:val="00B03A17"/>
    <w:rsid w:val="00B077C4"/>
    <w:rsid w:val="00B10CC0"/>
    <w:rsid w:val="00B16482"/>
    <w:rsid w:val="00B200EC"/>
    <w:rsid w:val="00B21410"/>
    <w:rsid w:val="00B301F0"/>
    <w:rsid w:val="00B33DE8"/>
    <w:rsid w:val="00B42729"/>
    <w:rsid w:val="00B43072"/>
    <w:rsid w:val="00B468A3"/>
    <w:rsid w:val="00B4696B"/>
    <w:rsid w:val="00B52FF3"/>
    <w:rsid w:val="00B54D5E"/>
    <w:rsid w:val="00B56933"/>
    <w:rsid w:val="00B60B93"/>
    <w:rsid w:val="00B61B17"/>
    <w:rsid w:val="00B66636"/>
    <w:rsid w:val="00B67A47"/>
    <w:rsid w:val="00B767D6"/>
    <w:rsid w:val="00B779DA"/>
    <w:rsid w:val="00B83AEE"/>
    <w:rsid w:val="00B83B49"/>
    <w:rsid w:val="00B852CD"/>
    <w:rsid w:val="00B910D0"/>
    <w:rsid w:val="00B93BF1"/>
    <w:rsid w:val="00BA4160"/>
    <w:rsid w:val="00BB3F38"/>
    <w:rsid w:val="00BB58F0"/>
    <w:rsid w:val="00BC11F5"/>
    <w:rsid w:val="00BC23D6"/>
    <w:rsid w:val="00BC450B"/>
    <w:rsid w:val="00BC4C34"/>
    <w:rsid w:val="00BC5B77"/>
    <w:rsid w:val="00BD68F4"/>
    <w:rsid w:val="00BE1CC3"/>
    <w:rsid w:val="00BF019F"/>
    <w:rsid w:val="00BF1A21"/>
    <w:rsid w:val="00C13ACC"/>
    <w:rsid w:val="00C2449A"/>
    <w:rsid w:val="00C42337"/>
    <w:rsid w:val="00C42D07"/>
    <w:rsid w:val="00C451E6"/>
    <w:rsid w:val="00C47618"/>
    <w:rsid w:val="00C54470"/>
    <w:rsid w:val="00C5507C"/>
    <w:rsid w:val="00C56E0C"/>
    <w:rsid w:val="00C63277"/>
    <w:rsid w:val="00C67D07"/>
    <w:rsid w:val="00C72475"/>
    <w:rsid w:val="00C73E5E"/>
    <w:rsid w:val="00C80E2D"/>
    <w:rsid w:val="00C816CF"/>
    <w:rsid w:val="00C84BF1"/>
    <w:rsid w:val="00C930B0"/>
    <w:rsid w:val="00C976D9"/>
    <w:rsid w:val="00CB3FD1"/>
    <w:rsid w:val="00CB7DA7"/>
    <w:rsid w:val="00CC080E"/>
    <w:rsid w:val="00CC1E20"/>
    <w:rsid w:val="00CC2DA6"/>
    <w:rsid w:val="00CD5D3A"/>
    <w:rsid w:val="00CE5E9D"/>
    <w:rsid w:val="00CE6D1A"/>
    <w:rsid w:val="00CF20CC"/>
    <w:rsid w:val="00CF27A6"/>
    <w:rsid w:val="00D01AAA"/>
    <w:rsid w:val="00D0260B"/>
    <w:rsid w:val="00D058FA"/>
    <w:rsid w:val="00D07CEA"/>
    <w:rsid w:val="00D10B78"/>
    <w:rsid w:val="00D10EE0"/>
    <w:rsid w:val="00D1341F"/>
    <w:rsid w:val="00D13A40"/>
    <w:rsid w:val="00D14733"/>
    <w:rsid w:val="00D2162E"/>
    <w:rsid w:val="00D253AA"/>
    <w:rsid w:val="00D26B1F"/>
    <w:rsid w:val="00D3088C"/>
    <w:rsid w:val="00D3114A"/>
    <w:rsid w:val="00D32130"/>
    <w:rsid w:val="00D37C5C"/>
    <w:rsid w:val="00D43480"/>
    <w:rsid w:val="00D769BD"/>
    <w:rsid w:val="00D867BD"/>
    <w:rsid w:val="00D87F94"/>
    <w:rsid w:val="00D947B5"/>
    <w:rsid w:val="00D96B1A"/>
    <w:rsid w:val="00DA3DC2"/>
    <w:rsid w:val="00DA4103"/>
    <w:rsid w:val="00DA4B37"/>
    <w:rsid w:val="00DA773E"/>
    <w:rsid w:val="00DB5460"/>
    <w:rsid w:val="00DB5542"/>
    <w:rsid w:val="00DC4123"/>
    <w:rsid w:val="00DD13BA"/>
    <w:rsid w:val="00DD3E5B"/>
    <w:rsid w:val="00DE4160"/>
    <w:rsid w:val="00E01370"/>
    <w:rsid w:val="00E02827"/>
    <w:rsid w:val="00E03C41"/>
    <w:rsid w:val="00E107CA"/>
    <w:rsid w:val="00E13A5B"/>
    <w:rsid w:val="00E21655"/>
    <w:rsid w:val="00E226F3"/>
    <w:rsid w:val="00E263A9"/>
    <w:rsid w:val="00E27056"/>
    <w:rsid w:val="00E34789"/>
    <w:rsid w:val="00E35534"/>
    <w:rsid w:val="00E368D1"/>
    <w:rsid w:val="00E523E5"/>
    <w:rsid w:val="00E629AC"/>
    <w:rsid w:val="00E70AE7"/>
    <w:rsid w:val="00E71462"/>
    <w:rsid w:val="00E737E6"/>
    <w:rsid w:val="00EA5993"/>
    <w:rsid w:val="00EB04BE"/>
    <w:rsid w:val="00EC31E0"/>
    <w:rsid w:val="00EC6971"/>
    <w:rsid w:val="00ED27FE"/>
    <w:rsid w:val="00ED7EA4"/>
    <w:rsid w:val="00EE5A24"/>
    <w:rsid w:val="00EE6B21"/>
    <w:rsid w:val="00EE72C6"/>
    <w:rsid w:val="00EF21C3"/>
    <w:rsid w:val="00EF2EB4"/>
    <w:rsid w:val="00EF4E30"/>
    <w:rsid w:val="00EF754F"/>
    <w:rsid w:val="00F023E5"/>
    <w:rsid w:val="00F115FF"/>
    <w:rsid w:val="00F14AFA"/>
    <w:rsid w:val="00F14FBE"/>
    <w:rsid w:val="00F16B16"/>
    <w:rsid w:val="00F247D8"/>
    <w:rsid w:val="00F27A16"/>
    <w:rsid w:val="00F32E91"/>
    <w:rsid w:val="00F349BA"/>
    <w:rsid w:val="00F37BF7"/>
    <w:rsid w:val="00F40660"/>
    <w:rsid w:val="00F54E72"/>
    <w:rsid w:val="00F6617A"/>
    <w:rsid w:val="00F72090"/>
    <w:rsid w:val="00F73BEE"/>
    <w:rsid w:val="00F74FE4"/>
    <w:rsid w:val="00F81CC8"/>
    <w:rsid w:val="00F91244"/>
    <w:rsid w:val="00F97FAD"/>
    <w:rsid w:val="00FB6AAD"/>
    <w:rsid w:val="00FB6F68"/>
    <w:rsid w:val="00FB79AE"/>
    <w:rsid w:val="00FC0D17"/>
    <w:rsid w:val="00FC37FD"/>
    <w:rsid w:val="00FD36F5"/>
    <w:rsid w:val="00FD3D6B"/>
    <w:rsid w:val="00FD6FEC"/>
    <w:rsid w:val="00FE148F"/>
    <w:rsid w:val="00FE29E0"/>
    <w:rsid w:val="00FE6B54"/>
    <w:rsid w:val="00FF1E59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F0C39-1AD5-4BED-9538-FE3A69D4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mailto:nkavula1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nifestinvesting.com/clubs/630/dashboard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gif@01D3AA2E.D8E992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21</cp:revision>
  <cp:lastPrinted>2018-02-16T21:15:00Z</cp:lastPrinted>
  <dcterms:created xsi:type="dcterms:W3CDTF">2018-02-19T17:28:00Z</dcterms:created>
  <dcterms:modified xsi:type="dcterms:W3CDTF">2018-03-24T01:06:00Z</dcterms:modified>
</cp:coreProperties>
</file>