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B95" w14:textId="77777777" w:rsidR="000048F1" w:rsidRDefault="005B304D" w:rsidP="00AB35FB">
      <w:pPr>
        <w:pStyle w:val="Heading1"/>
        <w:spacing w:after="0"/>
        <w:ind w:left="461"/>
        <w:rPr>
          <w:rStyle w:val="Heading1Char"/>
          <w:b/>
        </w:rPr>
      </w:pPr>
      <w:r>
        <w:rPr>
          <w:noProof/>
        </w:rPr>
        <w:drawing>
          <wp:inline distT="0" distB="0" distL="0" distR="0" wp14:anchorId="750EC2B0" wp14:editId="524FBF64">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14:paraId="09E5530A" w14:textId="77777777"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14:paraId="3DAF6D4A" w14:textId="77777777"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204091">
        <w:rPr>
          <w:sz w:val="24"/>
          <w:szCs w:val="24"/>
        </w:rPr>
        <w:t>May 21</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14:paraId="0E0094BD" w14:textId="77777777"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rson at MidPointe Library, Board Room</w:t>
      </w:r>
    </w:p>
    <w:p w14:paraId="4756DCDE"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14:paraId="78665538" w14:textId="77777777" w:rsidTr="00F84570">
        <w:tc>
          <w:tcPr>
            <w:tcW w:w="10980" w:type="dxa"/>
          </w:tcPr>
          <w:p w14:paraId="6A64120E" w14:textId="77777777" w:rsidR="00BF22A1" w:rsidRDefault="00BF22A1" w:rsidP="00BF22A1">
            <w:pPr>
              <w:pStyle w:val="Default"/>
              <w:ind w:left="360"/>
              <w:jc w:val="center"/>
            </w:pPr>
            <w:r>
              <w:rPr>
                <w:b/>
                <w:bCs/>
                <w:sz w:val="23"/>
                <w:szCs w:val="23"/>
                <w:u w:val="single"/>
              </w:rPr>
              <w:t xml:space="preserve">MODEL INVESTMENT CLUB DISCLAIMER </w:t>
            </w:r>
          </w:p>
          <w:p w14:paraId="1C158206"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14:paraId="0029D8FB"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14:paraId="6075BC8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14:paraId="1FCE220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14:paraId="41FBEAAA" w14:textId="77777777" w:rsidR="00491D9F" w:rsidRPr="00F84570" w:rsidRDefault="00491D9F" w:rsidP="00BF22A1">
            <w:pPr>
              <w:jc w:val="center"/>
              <w:rPr>
                <w:rFonts w:eastAsia="Times New Roman" w:cs="Times New Roman"/>
                <w:b/>
                <w:color w:val="0000FF"/>
                <w:sz w:val="18"/>
                <w:szCs w:val="18"/>
                <w:u w:val="single"/>
              </w:rPr>
            </w:pPr>
          </w:p>
        </w:tc>
      </w:tr>
    </w:tbl>
    <w:p w14:paraId="08E040E7"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14:paraId="1B409153" w14:textId="77777777" w:rsidTr="0017005B">
        <w:trPr>
          <w:trHeight w:val="360"/>
          <w:jc w:val="center"/>
        </w:trPr>
        <w:tc>
          <w:tcPr>
            <w:tcW w:w="2330" w:type="dxa"/>
            <w:vAlign w:val="center"/>
          </w:tcPr>
          <w:p w14:paraId="1E26A5A0" w14:textId="77777777"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14:paraId="4BACBE72" w14:textId="77777777"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Welcome to all our guests, especially those attending for the first time. There is a handout available in the control panel tab that will introduce CinMIC’s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14:paraId="3D12F4A7" w14:textId="77777777"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14:paraId="4914F4D0" w14:textId="77777777" w:rsidTr="0017005B">
        <w:trPr>
          <w:trHeight w:val="386"/>
          <w:jc w:val="center"/>
        </w:trPr>
        <w:tc>
          <w:tcPr>
            <w:tcW w:w="2330" w:type="dxa"/>
            <w:vAlign w:val="center"/>
          </w:tcPr>
          <w:p w14:paraId="1713CAC9" w14:textId="77777777"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14:paraId="6D574C3F" w14:textId="77777777"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204091">
              <w:rPr>
                <w:rFonts w:eastAsia="Times New Roman" w:cs="Times New Roman"/>
                <w:color w:val="auto"/>
                <w:sz w:val="22"/>
              </w:rPr>
              <w:t xml:space="preserve"> April 16</w:t>
            </w:r>
            <w:r w:rsidR="006E726D">
              <w:rPr>
                <w:rFonts w:eastAsia="Times New Roman" w:cs="Times New Roman"/>
                <w:color w:val="auto"/>
                <w:sz w:val="22"/>
              </w:rPr>
              <w:t>,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r w:rsidR="007D326F">
              <w:rPr>
                <w:rFonts w:eastAsia="Times New Roman" w:cs="Times New Roman"/>
                <w:color w:val="auto"/>
                <w:sz w:val="22"/>
              </w:rPr>
              <w:t>bivio on April</w:t>
            </w:r>
            <w:r w:rsidR="00204091">
              <w:rPr>
                <w:rFonts w:eastAsia="Times New Roman" w:cs="Times New Roman"/>
                <w:color w:val="auto"/>
                <w:sz w:val="22"/>
              </w:rPr>
              <w:t xml:space="preserve"> 16</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14:paraId="55765D3E" w14:textId="77777777" w:rsidTr="0017005B">
        <w:trPr>
          <w:trHeight w:val="360"/>
          <w:jc w:val="center"/>
        </w:trPr>
        <w:tc>
          <w:tcPr>
            <w:tcW w:w="2330" w:type="dxa"/>
            <w:vAlign w:val="center"/>
          </w:tcPr>
          <w:p w14:paraId="4400A701" w14:textId="77777777"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14:paraId="190AB4D6" w14:textId="454F0E46" w:rsidR="00A95B81"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04091">
              <w:rPr>
                <w:color w:val="auto"/>
                <w:sz w:val="22"/>
              </w:rPr>
              <w:t>$</w:t>
            </w:r>
            <w:r w:rsidR="00BD269F">
              <w:rPr>
                <w:color w:val="auto"/>
                <w:sz w:val="22"/>
              </w:rPr>
              <w:t>7,266.77</w:t>
            </w:r>
            <w:r w:rsidR="00DC1EA8" w:rsidRPr="00491D9F">
              <w:rPr>
                <w:color w:val="auto"/>
                <w:sz w:val="22"/>
              </w:rPr>
              <w:t xml:space="preserve"> as of CoB </w:t>
            </w:r>
            <w:r w:rsidR="00204091">
              <w:rPr>
                <w:color w:val="auto"/>
                <w:sz w:val="22"/>
              </w:rPr>
              <w:t>May 13</w:t>
            </w:r>
            <w:r w:rsidR="00DC1EA8" w:rsidRPr="00491D9F">
              <w:rPr>
                <w:color w:val="auto"/>
                <w:sz w:val="22"/>
              </w:rPr>
              <w:t xml:space="preserve">, 2021; </w:t>
            </w:r>
            <w:r w:rsidR="00DC1EA8">
              <w:rPr>
                <w:color w:val="auto"/>
                <w:sz w:val="22"/>
              </w:rPr>
              <w:t>no limit orders</w:t>
            </w:r>
          </w:p>
          <w:p w14:paraId="6813AA3A" w14:textId="17207990" w:rsidR="00514E5D" w:rsidRPr="00A5344B" w:rsidRDefault="00514E5D" w:rsidP="00D50009">
            <w:pPr>
              <w:pStyle w:val="NoSpacing"/>
              <w:rPr>
                <w:color w:val="auto"/>
                <w:sz w:val="22"/>
              </w:rPr>
            </w:pPr>
            <w:r>
              <w:rPr>
                <w:color w:val="auto"/>
                <w:sz w:val="22"/>
              </w:rPr>
              <w:t>- Eugene Burnett final valuation: $2,853.92</w:t>
            </w:r>
          </w:p>
        </w:tc>
      </w:tr>
      <w:tr w:rsidR="00406F89" w14:paraId="0C9A105C" w14:textId="77777777" w:rsidTr="0017005B">
        <w:trPr>
          <w:trHeight w:val="360"/>
          <w:jc w:val="center"/>
        </w:trPr>
        <w:tc>
          <w:tcPr>
            <w:tcW w:w="2330" w:type="dxa"/>
            <w:vAlign w:val="center"/>
          </w:tcPr>
          <w:p w14:paraId="38E3FC20" w14:textId="77777777"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14:paraId="1D4C20FB" w14:textId="77777777"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560FF4" w:rsidRPr="002B6A94" w14:paraId="0F39A4D5" w14:textId="77777777" w:rsidTr="0017005B">
        <w:tblPrEx>
          <w:jc w:val="left"/>
        </w:tblPrEx>
        <w:trPr>
          <w:trHeight w:val="377"/>
        </w:trPr>
        <w:tc>
          <w:tcPr>
            <w:tcW w:w="2330" w:type="dxa"/>
            <w:vAlign w:val="center"/>
          </w:tcPr>
          <w:p w14:paraId="0D723E5D" w14:textId="77777777" w:rsidR="00560FF4" w:rsidRPr="00491D9F" w:rsidRDefault="00204091" w:rsidP="002B210C">
            <w:pPr>
              <w:pStyle w:val="NoSpacing"/>
              <w:rPr>
                <w:color w:val="auto"/>
                <w:sz w:val="22"/>
              </w:rPr>
            </w:pPr>
            <w:r>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14:paraId="72CF3E50" w14:textId="77777777" w:rsidR="000309A9" w:rsidRDefault="000309A9" w:rsidP="00633A06">
            <w:pPr>
              <w:pStyle w:val="NoSpacing"/>
              <w:rPr>
                <w:color w:val="auto"/>
                <w:sz w:val="22"/>
              </w:rPr>
            </w:pPr>
            <w:r>
              <w:rPr>
                <w:color w:val="auto"/>
                <w:sz w:val="22"/>
              </w:rPr>
              <w:t>- Recording Partner volunteer?</w:t>
            </w:r>
          </w:p>
          <w:p w14:paraId="13967CAD" w14:textId="77777777" w:rsidR="003F3CEE" w:rsidRPr="006E726D" w:rsidRDefault="00DF4C82" w:rsidP="00633A06">
            <w:pPr>
              <w:pStyle w:val="NoSpacing"/>
              <w:rPr>
                <w:color w:val="auto"/>
                <w:sz w:val="22"/>
              </w:rPr>
            </w:pPr>
            <w:r>
              <w:rPr>
                <w:color w:val="auto"/>
                <w:sz w:val="22"/>
              </w:rPr>
              <w:t xml:space="preserve">- </w:t>
            </w:r>
            <w:r w:rsidR="00156A48">
              <w:rPr>
                <w:color w:val="auto"/>
                <w:sz w:val="22"/>
              </w:rPr>
              <w:t>Guests are encouraged to join CinMIC</w:t>
            </w:r>
          </w:p>
        </w:tc>
      </w:tr>
      <w:tr w:rsidR="00560FF4" w:rsidRPr="002B6A94" w14:paraId="53881CF2" w14:textId="77777777" w:rsidTr="0017005B">
        <w:tblPrEx>
          <w:jc w:val="left"/>
        </w:tblPrEx>
        <w:trPr>
          <w:trHeight w:val="386"/>
        </w:trPr>
        <w:tc>
          <w:tcPr>
            <w:tcW w:w="2330" w:type="dxa"/>
            <w:vAlign w:val="center"/>
          </w:tcPr>
          <w:p w14:paraId="31754AC2" w14:textId="77777777"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14:paraId="7BC1C3F9" w14:textId="77777777" w:rsidR="00241596" w:rsidRPr="00491D9F" w:rsidRDefault="007172A0" w:rsidP="000309A9">
            <w:pPr>
              <w:pStyle w:val="NoSpacing"/>
              <w:rPr>
                <w:rFonts w:cs="Times New Roman"/>
                <w:color w:val="auto"/>
                <w:sz w:val="22"/>
              </w:rPr>
            </w:pPr>
            <w:r>
              <w:rPr>
                <w:rFonts w:cs="Times New Roman"/>
                <w:color w:val="auto"/>
                <w:sz w:val="22"/>
              </w:rPr>
              <w:t>- CinMIC anniversar</w:t>
            </w:r>
            <w:r w:rsidR="00D01FFF">
              <w:rPr>
                <w:rFonts w:cs="Times New Roman"/>
                <w:color w:val="auto"/>
                <w:sz w:val="22"/>
              </w:rPr>
              <w:t>y celebration – August</w:t>
            </w:r>
            <w:r w:rsidR="00204091">
              <w:rPr>
                <w:rFonts w:cs="Times New Roman"/>
                <w:color w:val="auto"/>
                <w:sz w:val="22"/>
              </w:rPr>
              <w:t>, Marty/Dene update</w:t>
            </w:r>
          </w:p>
        </w:tc>
      </w:tr>
      <w:tr w:rsidR="00FF5205" w:rsidRPr="002B6A94" w14:paraId="1B7C3CE8" w14:textId="77777777" w:rsidTr="0017005B">
        <w:trPr>
          <w:trHeight w:val="377"/>
          <w:jc w:val="center"/>
        </w:trPr>
        <w:tc>
          <w:tcPr>
            <w:tcW w:w="2330" w:type="dxa"/>
            <w:vAlign w:val="center"/>
          </w:tcPr>
          <w:p w14:paraId="27CB4290" w14:textId="77777777" w:rsidR="00FF5205" w:rsidRPr="00491D9F" w:rsidRDefault="00204091" w:rsidP="000C1B0F">
            <w:pPr>
              <w:pStyle w:val="NoSpacing"/>
              <w:rPr>
                <w:rFonts w:eastAsia="Times New Roman" w:cs="Times New Roman"/>
                <w:b/>
                <w:color w:val="auto"/>
                <w:sz w:val="22"/>
              </w:rPr>
            </w:pPr>
            <w:r>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14:paraId="3BC54F33" w14:textId="6DCE7D98" w:rsidR="00FF5205" w:rsidRPr="00491D9F" w:rsidRDefault="000309A9" w:rsidP="003742BA">
            <w:pPr>
              <w:rPr>
                <w:color w:val="auto"/>
              </w:rPr>
            </w:pPr>
            <w:r>
              <w:rPr>
                <w:color w:val="auto"/>
              </w:rPr>
              <w:t xml:space="preserve">- </w:t>
            </w:r>
            <w:r w:rsidR="006E217F">
              <w:rPr>
                <w:color w:val="auto"/>
              </w:rPr>
              <w:t>Extended discussion in lieu of stock study</w:t>
            </w:r>
          </w:p>
        </w:tc>
      </w:tr>
      <w:tr w:rsidR="000E5E70" w:rsidRPr="00D96148" w14:paraId="7A8DE1A9" w14:textId="77777777" w:rsidTr="0017005B">
        <w:trPr>
          <w:trHeight w:val="368"/>
          <w:jc w:val="center"/>
        </w:trPr>
        <w:tc>
          <w:tcPr>
            <w:tcW w:w="2330" w:type="dxa"/>
            <w:vAlign w:val="center"/>
          </w:tcPr>
          <w:p w14:paraId="083960E8" w14:textId="77777777" w:rsidR="000E5E70" w:rsidRDefault="00950974" w:rsidP="00950974">
            <w:pPr>
              <w:pStyle w:val="NoSpacing"/>
              <w:rPr>
                <w:rFonts w:eastAsia="Times New Roman" w:cs="Times New Roman"/>
                <w:b/>
                <w:color w:val="auto"/>
                <w:sz w:val="22"/>
              </w:rPr>
            </w:pPr>
            <w:r>
              <w:rPr>
                <w:rFonts w:eastAsia="Times New Roman" w:cs="Times New Roman"/>
                <w:b/>
                <w:color w:val="auto"/>
                <w:sz w:val="22"/>
              </w:rPr>
              <w:t>11:30</w:t>
            </w:r>
            <w:r w:rsidR="00E878C0">
              <w:rPr>
                <w:rFonts w:eastAsia="Times New Roman" w:cs="Times New Roman"/>
                <w:b/>
                <w:color w:val="auto"/>
                <w:sz w:val="22"/>
              </w:rPr>
              <w:t xml:space="preserve"> Quarterly Reports</w:t>
            </w:r>
          </w:p>
        </w:tc>
        <w:tc>
          <w:tcPr>
            <w:tcW w:w="8868" w:type="dxa"/>
            <w:vAlign w:val="center"/>
          </w:tcPr>
          <w:p w14:paraId="1C4768D8" w14:textId="77777777" w:rsidR="000E5E70" w:rsidRPr="007D326F" w:rsidRDefault="000E5E70" w:rsidP="000B37F5">
            <w:pPr>
              <w:pStyle w:val="NoSpacing"/>
              <w:rPr>
                <w:rFonts w:cs="Times New Roman"/>
                <w:color w:val="auto"/>
                <w:sz w:val="22"/>
              </w:rPr>
            </w:pPr>
            <w:r w:rsidRPr="007D326F">
              <w:rPr>
                <w:rFonts w:cs="Times New Roman"/>
                <w:color w:val="auto"/>
                <w:sz w:val="22"/>
              </w:rPr>
              <w:t xml:space="preserve">- </w:t>
            </w:r>
            <w:r w:rsidR="00204091">
              <w:rPr>
                <w:color w:val="auto"/>
                <w:sz w:val="22"/>
              </w:rPr>
              <w:t>5 min. reports on AAPL, CHRW, DHR, FAST, GOOG</w:t>
            </w:r>
          </w:p>
        </w:tc>
      </w:tr>
      <w:tr w:rsidR="00FF5205" w:rsidRPr="00D96148" w14:paraId="5B64B215" w14:textId="77777777" w:rsidTr="0017005B">
        <w:trPr>
          <w:trHeight w:val="368"/>
          <w:jc w:val="center"/>
        </w:trPr>
        <w:tc>
          <w:tcPr>
            <w:tcW w:w="2330" w:type="dxa"/>
            <w:vAlign w:val="center"/>
          </w:tcPr>
          <w:p w14:paraId="3016FD44" w14:textId="77777777"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14:paraId="7CFEF0B1" w14:textId="46ACBA45" w:rsidR="00A63E7B" w:rsidRPr="00491D9F" w:rsidRDefault="00A63E7B" w:rsidP="000B37F5">
            <w:pPr>
              <w:pStyle w:val="NoSpacing"/>
              <w:rPr>
                <w:rFonts w:cs="Times New Roman"/>
                <w:color w:val="auto"/>
                <w:sz w:val="22"/>
              </w:rPr>
            </w:pPr>
            <w:r>
              <w:rPr>
                <w:rFonts w:cs="Times New Roman"/>
                <w:color w:val="auto"/>
                <w:sz w:val="22"/>
              </w:rPr>
              <w:t xml:space="preserve">- Craig: </w:t>
            </w:r>
            <w:r w:rsidR="00551276">
              <w:rPr>
                <w:rFonts w:cs="Times New Roman"/>
                <w:color w:val="auto"/>
                <w:sz w:val="22"/>
              </w:rPr>
              <w:t>Selecting a stock to present</w:t>
            </w:r>
          </w:p>
        </w:tc>
      </w:tr>
      <w:tr w:rsidR="00FF5205" w:rsidRPr="00D96148" w14:paraId="0A681A87" w14:textId="77777777" w:rsidTr="0017005B">
        <w:trPr>
          <w:trHeight w:val="368"/>
          <w:jc w:val="center"/>
        </w:trPr>
        <w:tc>
          <w:tcPr>
            <w:tcW w:w="2330" w:type="dxa"/>
            <w:vAlign w:val="center"/>
          </w:tcPr>
          <w:p w14:paraId="0CBC3AF4" w14:textId="77777777"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14:paraId="2C2E61BB" w14:textId="77777777" w:rsidR="00FF5205" w:rsidRPr="00491D9F" w:rsidRDefault="00FF5205" w:rsidP="00FF5205">
            <w:pPr>
              <w:pStyle w:val="NoSpacing"/>
              <w:rPr>
                <w:rFonts w:cs="Times New Roman"/>
                <w:color w:val="auto"/>
                <w:sz w:val="22"/>
              </w:rPr>
            </w:pPr>
            <w:r w:rsidRPr="00491D9F">
              <w:rPr>
                <w:rFonts w:cs="Times New Roman"/>
                <w:color w:val="auto"/>
                <w:sz w:val="22"/>
              </w:rPr>
              <w:t>- Report</w:t>
            </w:r>
            <w:r w:rsidR="00EC67BD">
              <w:rPr>
                <w:rFonts w:cs="Times New Roman"/>
                <w:color w:val="auto"/>
                <w:sz w:val="22"/>
              </w:rPr>
              <w:t xml:space="preserve">s must be submitted </w:t>
            </w:r>
            <w:r w:rsidR="00950974">
              <w:rPr>
                <w:rFonts w:cs="Times New Roman"/>
                <w:color w:val="auto"/>
                <w:sz w:val="22"/>
              </w:rPr>
              <w:t>by Sun, May 15</w:t>
            </w:r>
          </w:p>
        </w:tc>
      </w:tr>
      <w:tr w:rsidR="00760E41" w:rsidRPr="00D96148" w14:paraId="47CE3947" w14:textId="77777777" w:rsidTr="0017005B">
        <w:trPr>
          <w:trHeight w:val="368"/>
          <w:jc w:val="center"/>
        </w:trPr>
        <w:tc>
          <w:tcPr>
            <w:tcW w:w="2330" w:type="dxa"/>
            <w:vAlign w:val="center"/>
          </w:tcPr>
          <w:p w14:paraId="56CE6D7B" w14:textId="77777777"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14:paraId="484AE99D" w14:textId="77777777"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950974">
              <w:rPr>
                <w:rFonts w:eastAsia="Times New Roman" w:cs="Times New Roman"/>
                <w:color w:val="auto"/>
              </w:rPr>
              <w:t xml:space="preserve"> June 4</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 xml:space="preserve">nline; Regular Meeting: </w:t>
            </w:r>
            <w:r w:rsidR="00950974">
              <w:rPr>
                <w:rFonts w:eastAsia="Times New Roman" w:cs="Times New Roman"/>
                <w:color w:val="auto"/>
              </w:rPr>
              <w:t>June 18</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14:paraId="7CF11562" w14:textId="77777777"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mins.</w:t>
            </w:r>
          </w:p>
        </w:tc>
      </w:tr>
    </w:tbl>
    <w:p w14:paraId="4D782931" w14:textId="77777777" w:rsidR="00950974" w:rsidRDefault="00950974" w:rsidP="00706F4F"/>
    <w:p w14:paraId="15D112D2" w14:textId="77777777" w:rsidR="00950974" w:rsidRDefault="00950974" w:rsidP="00950974">
      <w:r>
        <w:br w:type="page"/>
      </w:r>
    </w:p>
    <w:p w14:paraId="10CBC9D9" w14:textId="77777777" w:rsidR="007E5D70" w:rsidRDefault="007E5D70" w:rsidP="00706F4F"/>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330"/>
        <w:gridCol w:w="1180"/>
        <w:gridCol w:w="1370"/>
        <w:gridCol w:w="1525"/>
        <w:gridCol w:w="1525"/>
        <w:gridCol w:w="1041"/>
        <w:gridCol w:w="1047"/>
        <w:gridCol w:w="1180"/>
      </w:tblGrid>
      <w:tr w:rsidR="00FF5205" w:rsidRPr="00D96148" w14:paraId="211D44F2" w14:textId="77777777" w:rsidTr="00EC67BD">
        <w:trPr>
          <w:trHeight w:val="403"/>
        </w:trPr>
        <w:tc>
          <w:tcPr>
            <w:tcW w:w="2330" w:type="dxa"/>
            <w:vAlign w:val="center"/>
            <w:hideMark/>
          </w:tcPr>
          <w:p w14:paraId="750B4F3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14:paraId="4DEAD27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14:paraId="4498DED8"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14:paraId="37A9E67A"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14:paraId="0BFBA047"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14:paraId="4F4081FC"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14:paraId="78C7713E"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14:paraId="1650496B"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120A7F" w:rsidRPr="00D96148" w14:paraId="0F122C1C" w14:textId="77777777" w:rsidTr="00EC67BD">
        <w:trPr>
          <w:trHeight w:val="261"/>
        </w:trPr>
        <w:tc>
          <w:tcPr>
            <w:tcW w:w="2330" w:type="dxa"/>
            <w:noWrap/>
            <w:vAlign w:val="center"/>
            <w:hideMark/>
          </w:tcPr>
          <w:p w14:paraId="7AEABECB" w14:textId="77777777"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14:paraId="1AA66B82"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14:paraId="7D771425" w14:textId="46D652B5" w:rsidR="00120A7F" w:rsidRPr="00491D9F" w:rsidRDefault="00950974" w:rsidP="00120A7F">
            <w:pPr>
              <w:rPr>
                <w:rFonts w:eastAsia="Times New Roman" w:cs="Times New Roman"/>
                <w:color w:val="auto"/>
              </w:rPr>
            </w:pPr>
            <w:r>
              <w:rPr>
                <w:rFonts w:eastAsia="Times New Roman" w:cs="Times New Roman"/>
                <w:color w:val="auto"/>
              </w:rPr>
              <w:t>Craig</w:t>
            </w:r>
            <w:r w:rsidR="00A63E7B">
              <w:rPr>
                <w:rFonts w:eastAsia="Times New Roman" w:cs="Times New Roman"/>
                <w:color w:val="auto"/>
              </w:rPr>
              <w:t xml:space="preserve"> (1)</w:t>
            </w:r>
          </w:p>
        </w:tc>
        <w:tc>
          <w:tcPr>
            <w:tcW w:w="1525" w:type="dxa"/>
            <w:noWrap/>
          </w:tcPr>
          <w:p w14:paraId="5C4CB8F0" w14:textId="60A05FC1" w:rsidR="00120A7F" w:rsidRPr="009F2CD9" w:rsidRDefault="00BD41DF" w:rsidP="00120A7F">
            <w:pPr>
              <w:jc w:val="center"/>
              <w:rPr>
                <w:rFonts w:cs="Times New Roman"/>
              </w:rPr>
            </w:pPr>
            <w:r>
              <w:rPr>
                <w:rFonts w:cs="Times New Roman"/>
              </w:rPr>
              <w:t>BUY 5sh</w:t>
            </w:r>
          </w:p>
        </w:tc>
        <w:tc>
          <w:tcPr>
            <w:tcW w:w="1525" w:type="dxa"/>
            <w:noWrap/>
          </w:tcPr>
          <w:p w14:paraId="065FC5CE" w14:textId="429AC661" w:rsidR="00120A7F" w:rsidRPr="009F2CD9" w:rsidRDefault="00BD41DF" w:rsidP="00120A7F">
            <w:pPr>
              <w:jc w:val="center"/>
              <w:rPr>
                <w:rFonts w:cs="Times New Roman"/>
              </w:rPr>
            </w:pPr>
            <w:r>
              <w:rPr>
                <w:rFonts w:cs="Times New Roman"/>
              </w:rPr>
              <w:t>BUY</w:t>
            </w:r>
          </w:p>
        </w:tc>
        <w:tc>
          <w:tcPr>
            <w:tcW w:w="1041" w:type="dxa"/>
            <w:shd w:val="clear" w:color="auto" w:fill="auto"/>
            <w:noWrap/>
            <w:vAlign w:val="center"/>
          </w:tcPr>
          <w:p w14:paraId="2334118E" w14:textId="77777777" w:rsidR="00120A7F" w:rsidRPr="009F2CD9" w:rsidRDefault="007B1B8D" w:rsidP="00120A7F">
            <w:pPr>
              <w:jc w:val="center"/>
              <w:rPr>
                <w:rFonts w:eastAsia="Times New Roman" w:cs="Times New Roman"/>
              </w:rPr>
            </w:pPr>
            <w:r>
              <w:rPr>
                <w:rFonts w:eastAsia="Times New Roman" w:cs="Times New Roman"/>
              </w:rPr>
              <w:t>25</w:t>
            </w:r>
          </w:p>
        </w:tc>
        <w:tc>
          <w:tcPr>
            <w:tcW w:w="1047" w:type="dxa"/>
            <w:vAlign w:val="center"/>
          </w:tcPr>
          <w:p w14:paraId="1F924463" w14:textId="288AF578" w:rsidR="00120A7F" w:rsidRPr="00491D9F" w:rsidRDefault="00120A7F" w:rsidP="00120A7F">
            <w:pPr>
              <w:jc w:val="center"/>
              <w:rPr>
                <w:rFonts w:eastAsia="Times New Roman" w:cs="Times New Roman"/>
                <w:color w:val="auto"/>
              </w:rPr>
            </w:pPr>
          </w:p>
        </w:tc>
        <w:tc>
          <w:tcPr>
            <w:tcW w:w="1180" w:type="dxa"/>
            <w:noWrap/>
            <w:vAlign w:val="center"/>
          </w:tcPr>
          <w:p w14:paraId="49564E99"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3672F2" w:rsidRPr="00D96148" w14:paraId="0EA4A95B" w14:textId="77777777" w:rsidTr="00EC67BD">
        <w:trPr>
          <w:trHeight w:val="197"/>
        </w:trPr>
        <w:tc>
          <w:tcPr>
            <w:tcW w:w="2330" w:type="dxa"/>
            <w:noWrap/>
          </w:tcPr>
          <w:p w14:paraId="4732F08F" w14:textId="77777777" w:rsidR="003672F2" w:rsidRPr="00491D9F" w:rsidRDefault="003672F2" w:rsidP="003672F2">
            <w:pPr>
              <w:rPr>
                <w:rFonts w:eastAsia="Times New Roman" w:cs="Times New Roman"/>
                <w:color w:val="auto"/>
              </w:rPr>
            </w:pPr>
            <w:r w:rsidRPr="00491D9F">
              <w:rPr>
                <w:rFonts w:eastAsia="Times New Roman" w:cs="Times New Roman"/>
                <w:color w:val="auto"/>
              </w:rPr>
              <w:t>Alphabet</w:t>
            </w:r>
          </w:p>
        </w:tc>
        <w:tc>
          <w:tcPr>
            <w:tcW w:w="1180" w:type="dxa"/>
            <w:noWrap/>
          </w:tcPr>
          <w:p w14:paraId="0843753F" w14:textId="77777777" w:rsidR="003672F2" w:rsidRPr="00491D9F" w:rsidRDefault="003672F2" w:rsidP="003672F2">
            <w:pPr>
              <w:jc w:val="center"/>
              <w:rPr>
                <w:rFonts w:eastAsia="Times New Roman" w:cs="Times New Roman"/>
                <w:color w:val="auto"/>
              </w:rPr>
            </w:pPr>
            <w:r w:rsidRPr="00491D9F">
              <w:rPr>
                <w:rFonts w:eastAsia="Times New Roman" w:cs="Times New Roman"/>
                <w:color w:val="auto"/>
              </w:rPr>
              <w:t>GOOG</w:t>
            </w:r>
          </w:p>
        </w:tc>
        <w:tc>
          <w:tcPr>
            <w:tcW w:w="1370" w:type="dxa"/>
            <w:noWrap/>
          </w:tcPr>
          <w:p w14:paraId="1EF59674" w14:textId="77777777" w:rsidR="003672F2" w:rsidRPr="00491D9F" w:rsidRDefault="003672F2" w:rsidP="003672F2">
            <w:pPr>
              <w:rPr>
                <w:rFonts w:eastAsia="Times New Roman" w:cs="Times New Roman"/>
                <w:color w:val="auto"/>
              </w:rPr>
            </w:pPr>
            <w:r>
              <w:rPr>
                <w:rFonts w:eastAsia="Times New Roman" w:cs="Times New Roman"/>
                <w:color w:val="auto"/>
              </w:rPr>
              <w:t>Michele (2)</w:t>
            </w:r>
          </w:p>
        </w:tc>
        <w:tc>
          <w:tcPr>
            <w:tcW w:w="1525" w:type="dxa"/>
            <w:noWrap/>
          </w:tcPr>
          <w:p w14:paraId="4E99AC31" w14:textId="4CFF6E24" w:rsidR="003672F2" w:rsidRPr="009F2CD9" w:rsidRDefault="00F60869" w:rsidP="003672F2">
            <w:pPr>
              <w:jc w:val="center"/>
              <w:rPr>
                <w:rFonts w:cs="Times New Roman"/>
              </w:rPr>
            </w:pPr>
            <w:r>
              <w:rPr>
                <w:rFonts w:cs="Times New Roman"/>
              </w:rPr>
              <w:t>BUY 1sh</w:t>
            </w:r>
          </w:p>
        </w:tc>
        <w:tc>
          <w:tcPr>
            <w:tcW w:w="1525" w:type="dxa"/>
            <w:noWrap/>
          </w:tcPr>
          <w:p w14:paraId="786FBBA6" w14:textId="28B2DDA0" w:rsidR="003672F2" w:rsidRPr="009F2CD9" w:rsidRDefault="00F60869" w:rsidP="003672F2">
            <w:pPr>
              <w:jc w:val="center"/>
              <w:rPr>
                <w:rFonts w:cs="Times New Roman"/>
              </w:rPr>
            </w:pPr>
            <w:r>
              <w:rPr>
                <w:rFonts w:cs="Times New Roman"/>
              </w:rPr>
              <w:t>BUY</w:t>
            </w:r>
          </w:p>
        </w:tc>
        <w:tc>
          <w:tcPr>
            <w:tcW w:w="1041" w:type="dxa"/>
            <w:shd w:val="clear" w:color="auto" w:fill="auto"/>
            <w:noWrap/>
            <w:vAlign w:val="center"/>
          </w:tcPr>
          <w:p w14:paraId="717EC610" w14:textId="77777777" w:rsidR="003672F2" w:rsidRPr="009F2CD9" w:rsidRDefault="007B1B8D" w:rsidP="003672F2">
            <w:pPr>
              <w:jc w:val="center"/>
              <w:rPr>
                <w:rFonts w:eastAsia="Times New Roman" w:cs="Times New Roman"/>
              </w:rPr>
            </w:pPr>
            <w:r>
              <w:rPr>
                <w:rFonts w:eastAsia="Times New Roman" w:cs="Times New Roman"/>
              </w:rPr>
              <w:t>7</w:t>
            </w:r>
          </w:p>
        </w:tc>
        <w:tc>
          <w:tcPr>
            <w:tcW w:w="1047" w:type="dxa"/>
          </w:tcPr>
          <w:p w14:paraId="27815045" w14:textId="77777777" w:rsidR="003672F2" w:rsidRPr="00491D9F" w:rsidRDefault="003672F2" w:rsidP="003672F2">
            <w:pPr>
              <w:jc w:val="center"/>
              <w:rPr>
                <w:rFonts w:eastAsia="Times New Roman" w:cs="Times New Roman"/>
                <w:color w:val="auto"/>
              </w:rPr>
            </w:pPr>
          </w:p>
        </w:tc>
        <w:tc>
          <w:tcPr>
            <w:tcW w:w="1180" w:type="dxa"/>
            <w:noWrap/>
          </w:tcPr>
          <w:p w14:paraId="26F135AB" w14:textId="77777777" w:rsidR="003672F2" w:rsidRPr="00491D9F" w:rsidRDefault="003672F2" w:rsidP="003672F2">
            <w:pPr>
              <w:jc w:val="center"/>
              <w:rPr>
                <w:rFonts w:eastAsia="Times New Roman" w:cs="Times New Roman"/>
                <w:color w:val="auto"/>
              </w:rPr>
            </w:pPr>
            <w:r w:rsidRPr="00491D9F">
              <w:rPr>
                <w:rFonts w:eastAsia="Times New Roman" w:cs="Times New Roman"/>
                <w:color w:val="auto"/>
              </w:rPr>
              <w:t>Dec</w:t>
            </w:r>
          </w:p>
        </w:tc>
      </w:tr>
      <w:tr w:rsidR="004E58E2" w:rsidRPr="00D96148" w14:paraId="1C69CEDB" w14:textId="77777777" w:rsidTr="00EC67BD">
        <w:trPr>
          <w:trHeight w:val="261"/>
        </w:trPr>
        <w:tc>
          <w:tcPr>
            <w:tcW w:w="2330" w:type="dxa"/>
            <w:noWrap/>
          </w:tcPr>
          <w:p w14:paraId="5E01BF6E" w14:textId="77777777" w:rsidR="004E58E2" w:rsidRPr="00491D9F" w:rsidRDefault="004E58E2" w:rsidP="004E58E2">
            <w:pPr>
              <w:rPr>
                <w:rFonts w:eastAsia="Times New Roman" w:cs="Times New Roman"/>
                <w:color w:val="auto"/>
              </w:rPr>
            </w:pPr>
            <w:r w:rsidRPr="00491D9F">
              <w:rPr>
                <w:rFonts w:eastAsia="Times New Roman" w:cs="Times New Roman"/>
                <w:color w:val="auto"/>
              </w:rPr>
              <w:t xml:space="preserve">Apple </w:t>
            </w:r>
          </w:p>
        </w:tc>
        <w:tc>
          <w:tcPr>
            <w:tcW w:w="1180" w:type="dxa"/>
            <w:noWrap/>
          </w:tcPr>
          <w:p w14:paraId="0419C1B8" w14:textId="77777777" w:rsidR="004E58E2" w:rsidRPr="00491D9F" w:rsidRDefault="004E58E2" w:rsidP="004E58E2">
            <w:pPr>
              <w:jc w:val="center"/>
              <w:rPr>
                <w:rFonts w:eastAsia="Times New Roman" w:cs="Times New Roman"/>
                <w:color w:val="auto"/>
              </w:rPr>
            </w:pPr>
            <w:r w:rsidRPr="00491D9F">
              <w:rPr>
                <w:rFonts w:eastAsia="Times New Roman" w:cs="Times New Roman"/>
                <w:color w:val="auto"/>
              </w:rPr>
              <w:t>AAPL</w:t>
            </w:r>
          </w:p>
        </w:tc>
        <w:tc>
          <w:tcPr>
            <w:tcW w:w="1370" w:type="dxa"/>
            <w:noWrap/>
          </w:tcPr>
          <w:p w14:paraId="6B2972C1" w14:textId="77777777" w:rsidR="004E58E2" w:rsidRPr="00491D9F" w:rsidRDefault="004E58E2" w:rsidP="004E58E2">
            <w:pPr>
              <w:rPr>
                <w:rFonts w:eastAsia="Times New Roman" w:cs="Times New Roman"/>
                <w:color w:val="auto"/>
              </w:rPr>
            </w:pPr>
            <w:r>
              <w:rPr>
                <w:rFonts w:eastAsia="Times New Roman" w:cs="Times New Roman"/>
                <w:color w:val="auto"/>
              </w:rPr>
              <w:t>Kate</w:t>
            </w:r>
          </w:p>
        </w:tc>
        <w:tc>
          <w:tcPr>
            <w:tcW w:w="1525" w:type="dxa"/>
            <w:noWrap/>
          </w:tcPr>
          <w:p w14:paraId="302437D2" w14:textId="228FD43E" w:rsidR="004E58E2" w:rsidRPr="009F2CD9" w:rsidRDefault="009E1B8B" w:rsidP="004E58E2">
            <w:pPr>
              <w:jc w:val="center"/>
              <w:rPr>
                <w:rFonts w:cs="Times New Roman"/>
              </w:rPr>
            </w:pPr>
            <w:r>
              <w:rPr>
                <w:rFonts w:cs="Times New Roman"/>
              </w:rPr>
              <w:t>HOLD</w:t>
            </w:r>
          </w:p>
        </w:tc>
        <w:tc>
          <w:tcPr>
            <w:tcW w:w="1525" w:type="dxa"/>
            <w:noWrap/>
          </w:tcPr>
          <w:p w14:paraId="787E47BB" w14:textId="6B0D91F8" w:rsidR="004E58E2" w:rsidRPr="009F2CD9" w:rsidRDefault="009E1B8B" w:rsidP="004E58E2">
            <w:pPr>
              <w:jc w:val="center"/>
              <w:rPr>
                <w:rFonts w:cs="Times New Roman"/>
              </w:rPr>
            </w:pPr>
            <w:r>
              <w:rPr>
                <w:rFonts w:cs="Times New Roman"/>
              </w:rPr>
              <w:t>BUY</w:t>
            </w:r>
          </w:p>
        </w:tc>
        <w:tc>
          <w:tcPr>
            <w:tcW w:w="1041" w:type="dxa"/>
            <w:shd w:val="clear" w:color="auto" w:fill="auto"/>
            <w:noWrap/>
            <w:vAlign w:val="center"/>
          </w:tcPr>
          <w:p w14:paraId="1F92C5F9" w14:textId="77777777" w:rsidR="004E58E2" w:rsidRPr="009F2CD9" w:rsidRDefault="004E58E2" w:rsidP="004E58E2">
            <w:pPr>
              <w:jc w:val="center"/>
              <w:rPr>
                <w:rFonts w:eastAsia="Times New Roman" w:cs="Times New Roman"/>
              </w:rPr>
            </w:pPr>
            <w:r>
              <w:rPr>
                <w:rFonts w:eastAsia="Times New Roman" w:cs="Times New Roman"/>
              </w:rPr>
              <w:t>112</w:t>
            </w:r>
          </w:p>
        </w:tc>
        <w:tc>
          <w:tcPr>
            <w:tcW w:w="1047" w:type="dxa"/>
          </w:tcPr>
          <w:p w14:paraId="5CC1B0CE" w14:textId="77777777" w:rsidR="004E58E2" w:rsidRPr="00491D9F" w:rsidRDefault="004E58E2" w:rsidP="004E58E2">
            <w:pPr>
              <w:jc w:val="center"/>
              <w:rPr>
                <w:rFonts w:eastAsia="Times New Roman" w:cs="Times New Roman"/>
                <w:color w:val="auto"/>
              </w:rPr>
            </w:pPr>
          </w:p>
        </w:tc>
        <w:tc>
          <w:tcPr>
            <w:tcW w:w="1180" w:type="dxa"/>
            <w:noWrap/>
          </w:tcPr>
          <w:p w14:paraId="0DA8B664" w14:textId="77777777" w:rsidR="004E58E2" w:rsidRPr="00491D9F" w:rsidRDefault="004E58E2" w:rsidP="004E58E2">
            <w:pPr>
              <w:jc w:val="center"/>
              <w:rPr>
                <w:rFonts w:eastAsia="Times New Roman" w:cs="Times New Roman"/>
                <w:color w:val="auto"/>
              </w:rPr>
            </w:pPr>
            <w:r w:rsidRPr="00491D9F">
              <w:rPr>
                <w:rFonts w:eastAsia="Times New Roman" w:cs="Times New Roman"/>
                <w:color w:val="auto"/>
              </w:rPr>
              <w:t>Sep</w:t>
            </w:r>
          </w:p>
        </w:tc>
      </w:tr>
      <w:tr w:rsidR="004E58E2" w:rsidRPr="00D96148" w14:paraId="665950EA" w14:textId="77777777" w:rsidTr="00EC67BD">
        <w:trPr>
          <w:trHeight w:val="287"/>
        </w:trPr>
        <w:tc>
          <w:tcPr>
            <w:tcW w:w="2330" w:type="dxa"/>
            <w:noWrap/>
            <w:hideMark/>
          </w:tcPr>
          <w:p w14:paraId="223167B3" w14:textId="77777777" w:rsidR="004E58E2" w:rsidRPr="00491D9F" w:rsidRDefault="004E58E2" w:rsidP="004E58E2">
            <w:pPr>
              <w:rPr>
                <w:rFonts w:eastAsia="Times New Roman" w:cs="Times New Roman"/>
              </w:rPr>
            </w:pPr>
            <w:r w:rsidRPr="00491D9F">
              <w:rPr>
                <w:rFonts w:eastAsia="Times New Roman" w:cs="Times New Roman"/>
              </w:rPr>
              <w:t xml:space="preserve">C. H. Robinson </w:t>
            </w:r>
          </w:p>
        </w:tc>
        <w:tc>
          <w:tcPr>
            <w:tcW w:w="1180" w:type="dxa"/>
            <w:noWrap/>
            <w:hideMark/>
          </w:tcPr>
          <w:p w14:paraId="5C640415" w14:textId="77777777" w:rsidR="004E58E2" w:rsidRPr="00491D9F" w:rsidRDefault="004E58E2" w:rsidP="004E58E2">
            <w:pPr>
              <w:jc w:val="center"/>
              <w:rPr>
                <w:rFonts w:eastAsia="Times New Roman" w:cs="Times New Roman"/>
              </w:rPr>
            </w:pPr>
            <w:r w:rsidRPr="00491D9F">
              <w:rPr>
                <w:rFonts w:eastAsia="Times New Roman" w:cs="Times New Roman"/>
              </w:rPr>
              <w:t>CHRW</w:t>
            </w:r>
          </w:p>
        </w:tc>
        <w:tc>
          <w:tcPr>
            <w:tcW w:w="1370" w:type="dxa"/>
            <w:noWrap/>
            <w:hideMark/>
          </w:tcPr>
          <w:p w14:paraId="03FD9377" w14:textId="77777777" w:rsidR="004E58E2" w:rsidRPr="00491D9F" w:rsidRDefault="004E58E2" w:rsidP="004E58E2">
            <w:pPr>
              <w:tabs>
                <w:tab w:val="left" w:pos="885"/>
              </w:tabs>
              <w:rPr>
                <w:rFonts w:eastAsia="Times New Roman" w:cs="Times New Roman"/>
                <w:color w:val="auto"/>
              </w:rPr>
            </w:pPr>
            <w:r>
              <w:rPr>
                <w:rFonts w:eastAsia="Times New Roman" w:cs="Times New Roman"/>
                <w:color w:val="auto"/>
              </w:rPr>
              <w:t>Roger</w:t>
            </w:r>
            <w:r w:rsidR="00950974">
              <w:rPr>
                <w:rFonts w:eastAsia="Times New Roman" w:cs="Times New Roman"/>
                <w:color w:val="auto"/>
              </w:rPr>
              <w:t xml:space="preserve"> (2)</w:t>
            </w:r>
          </w:p>
        </w:tc>
        <w:tc>
          <w:tcPr>
            <w:tcW w:w="1525" w:type="dxa"/>
            <w:noWrap/>
          </w:tcPr>
          <w:p w14:paraId="320EFD0B" w14:textId="707BF138" w:rsidR="004E58E2" w:rsidRPr="009F2CD9" w:rsidRDefault="00534BED" w:rsidP="004E58E2">
            <w:pPr>
              <w:jc w:val="center"/>
              <w:rPr>
                <w:rFonts w:cs="Times New Roman"/>
              </w:rPr>
            </w:pPr>
            <w:r>
              <w:rPr>
                <w:rFonts w:cs="Times New Roman"/>
              </w:rPr>
              <w:t>HOLD</w:t>
            </w:r>
          </w:p>
        </w:tc>
        <w:tc>
          <w:tcPr>
            <w:tcW w:w="1525" w:type="dxa"/>
            <w:noWrap/>
          </w:tcPr>
          <w:p w14:paraId="040E6D69" w14:textId="6C29BC6A" w:rsidR="004E58E2" w:rsidRPr="009F2CD9" w:rsidRDefault="00534BED" w:rsidP="004E58E2">
            <w:pPr>
              <w:jc w:val="center"/>
              <w:rPr>
                <w:rFonts w:cs="Times New Roman"/>
              </w:rPr>
            </w:pPr>
            <w:r>
              <w:rPr>
                <w:rFonts w:cs="Times New Roman"/>
              </w:rPr>
              <w:t>BUY</w:t>
            </w:r>
          </w:p>
        </w:tc>
        <w:tc>
          <w:tcPr>
            <w:tcW w:w="1041" w:type="dxa"/>
            <w:shd w:val="clear" w:color="auto" w:fill="auto"/>
            <w:noWrap/>
            <w:vAlign w:val="center"/>
          </w:tcPr>
          <w:p w14:paraId="38880387" w14:textId="77777777" w:rsidR="004E58E2" w:rsidRPr="009F2CD9" w:rsidRDefault="004E58E2" w:rsidP="004E58E2">
            <w:pPr>
              <w:jc w:val="center"/>
              <w:rPr>
                <w:rFonts w:cs="Times New Roman"/>
              </w:rPr>
            </w:pPr>
            <w:r w:rsidRPr="009F2CD9">
              <w:rPr>
                <w:rFonts w:cs="Times New Roman"/>
              </w:rPr>
              <w:t>103</w:t>
            </w:r>
          </w:p>
        </w:tc>
        <w:tc>
          <w:tcPr>
            <w:tcW w:w="1047" w:type="dxa"/>
          </w:tcPr>
          <w:p w14:paraId="54FC163A" w14:textId="77777777" w:rsidR="004E58E2" w:rsidRPr="00491D9F" w:rsidRDefault="004E58E2" w:rsidP="004E58E2">
            <w:pPr>
              <w:jc w:val="center"/>
              <w:rPr>
                <w:rFonts w:eastAsia="Times New Roman" w:cs="Times New Roman"/>
              </w:rPr>
            </w:pPr>
          </w:p>
        </w:tc>
        <w:tc>
          <w:tcPr>
            <w:tcW w:w="1180" w:type="dxa"/>
            <w:noWrap/>
          </w:tcPr>
          <w:p w14:paraId="65ED9426" w14:textId="77777777" w:rsidR="004E58E2" w:rsidRPr="00491D9F" w:rsidRDefault="004E58E2" w:rsidP="004E58E2">
            <w:pPr>
              <w:jc w:val="center"/>
              <w:rPr>
                <w:rFonts w:eastAsia="Times New Roman" w:cs="Times New Roman"/>
              </w:rPr>
            </w:pPr>
            <w:r w:rsidRPr="00491D9F">
              <w:rPr>
                <w:rFonts w:eastAsia="Times New Roman" w:cs="Times New Roman"/>
              </w:rPr>
              <w:t>Dec</w:t>
            </w:r>
          </w:p>
        </w:tc>
      </w:tr>
      <w:tr w:rsidR="00EA5D92" w:rsidRPr="00D96148" w14:paraId="7573C452" w14:textId="77777777" w:rsidTr="00EC67BD">
        <w:trPr>
          <w:trHeight w:val="260"/>
        </w:trPr>
        <w:tc>
          <w:tcPr>
            <w:tcW w:w="2330" w:type="dxa"/>
            <w:noWrap/>
            <w:hideMark/>
          </w:tcPr>
          <w:p w14:paraId="0B821C6B" w14:textId="77777777" w:rsidR="00EA5D92" w:rsidRPr="00491D9F" w:rsidRDefault="00EA5D92" w:rsidP="00EA5D92">
            <w:pPr>
              <w:rPr>
                <w:rFonts w:eastAsia="Times New Roman" w:cs="Times New Roman"/>
              </w:rPr>
            </w:pPr>
            <w:r w:rsidRPr="00491D9F">
              <w:rPr>
                <w:rFonts w:eastAsia="Times New Roman" w:cs="Times New Roman"/>
              </w:rPr>
              <w:t>Danaher</w:t>
            </w:r>
          </w:p>
        </w:tc>
        <w:tc>
          <w:tcPr>
            <w:tcW w:w="1180" w:type="dxa"/>
            <w:noWrap/>
            <w:hideMark/>
          </w:tcPr>
          <w:p w14:paraId="1988EE92" w14:textId="77777777" w:rsidR="00EA5D92" w:rsidRPr="00491D9F" w:rsidRDefault="00EA5D92" w:rsidP="00EA5D92">
            <w:pPr>
              <w:jc w:val="center"/>
              <w:rPr>
                <w:rFonts w:eastAsia="Times New Roman" w:cs="Times New Roman"/>
              </w:rPr>
            </w:pPr>
            <w:r w:rsidRPr="00491D9F">
              <w:rPr>
                <w:rFonts w:eastAsia="Times New Roman" w:cs="Times New Roman"/>
              </w:rPr>
              <w:t>DHR</w:t>
            </w:r>
          </w:p>
        </w:tc>
        <w:tc>
          <w:tcPr>
            <w:tcW w:w="1370" w:type="dxa"/>
            <w:noWrap/>
            <w:hideMark/>
          </w:tcPr>
          <w:p w14:paraId="35350545" w14:textId="77777777" w:rsidR="00EA5D92" w:rsidRPr="00491D9F" w:rsidRDefault="00EA5D92" w:rsidP="00EA5D92">
            <w:pPr>
              <w:rPr>
                <w:rFonts w:eastAsia="Times New Roman" w:cs="Times New Roman"/>
                <w:color w:val="auto"/>
              </w:rPr>
            </w:pPr>
            <w:r w:rsidRPr="00491D9F">
              <w:rPr>
                <w:rFonts w:eastAsia="Times New Roman" w:cs="Times New Roman"/>
                <w:color w:val="auto"/>
              </w:rPr>
              <w:t>Harrison (2)</w:t>
            </w:r>
          </w:p>
        </w:tc>
        <w:tc>
          <w:tcPr>
            <w:tcW w:w="1525" w:type="dxa"/>
            <w:noWrap/>
          </w:tcPr>
          <w:p w14:paraId="4E1804AD" w14:textId="0553209A" w:rsidR="00EA5D92" w:rsidRPr="009F2CD9" w:rsidRDefault="005B19FB" w:rsidP="00EA5D92">
            <w:pPr>
              <w:jc w:val="center"/>
              <w:rPr>
                <w:rFonts w:cs="Times New Roman"/>
              </w:rPr>
            </w:pPr>
            <w:r>
              <w:rPr>
                <w:rFonts w:cs="Times New Roman"/>
              </w:rPr>
              <w:t>HOLD</w:t>
            </w:r>
          </w:p>
        </w:tc>
        <w:tc>
          <w:tcPr>
            <w:tcW w:w="1525" w:type="dxa"/>
            <w:noWrap/>
          </w:tcPr>
          <w:p w14:paraId="0A784E2C" w14:textId="17CA1A30" w:rsidR="00EA5D92" w:rsidRPr="009F2CD9" w:rsidRDefault="005B19FB" w:rsidP="00EA5D92">
            <w:pPr>
              <w:jc w:val="center"/>
              <w:rPr>
                <w:rFonts w:cs="Times New Roman"/>
              </w:rPr>
            </w:pPr>
            <w:r>
              <w:rPr>
                <w:rFonts w:cs="Times New Roman"/>
              </w:rPr>
              <w:t>HOLD</w:t>
            </w:r>
          </w:p>
        </w:tc>
        <w:tc>
          <w:tcPr>
            <w:tcW w:w="1041" w:type="dxa"/>
            <w:shd w:val="clear" w:color="auto" w:fill="auto"/>
            <w:noWrap/>
            <w:vAlign w:val="center"/>
          </w:tcPr>
          <w:p w14:paraId="445BA1FC" w14:textId="77777777" w:rsidR="00EA5D92" w:rsidRPr="009F2CD9" w:rsidRDefault="00EA5D92" w:rsidP="00EA5D92">
            <w:pPr>
              <w:jc w:val="center"/>
              <w:rPr>
                <w:rFonts w:cs="Times New Roman"/>
              </w:rPr>
            </w:pPr>
            <w:r>
              <w:rPr>
                <w:rFonts w:cs="Times New Roman"/>
              </w:rPr>
              <w:t>55</w:t>
            </w:r>
          </w:p>
        </w:tc>
        <w:tc>
          <w:tcPr>
            <w:tcW w:w="1047" w:type="dxa"/>
          </w:tcPr>
          <w:p w14:paraId="0A621CA3" w14:textId="77777777" w:rsidR="00EA5D92" w:rsidRPr="00491D9F" w:rsidRDefault="00EA5D92" w:rsidP="00EA5D92">
            <w:pPr>
              <w:jc w:val="center"/>
              <w:rPr>
                <w:rFonts w:eastAsia="Times New Roman" w:cs="Times New Roman"/>
              </w:rPr>
            </w:pPr>
          </w:p>
        </w:tc>
        <w:tc>
          <w:tcPr>
            <w:tcW w:w="1180" w:type="dxa"/>
            <w:noWrap/>
          </w:tcPr>
          <w:p w14:paraId="70F155C1" w14:textId="77777777" w:rsidR="00EA5D92" w:rsidRPr="00491D9F" w:rsidRDefault="00EA5D92" w:rsidP="00EA5D92">
            <w:pPr>
              <w:jc w:val="center"/>
              <w:rPr>
                <w:rFonts w:eastAsia="Times New Roman" w:cs="Times New Roman"/>
              </w:rPr>
            </w:pPr>
            <w:r w:rsidRPr="00491D9F">
              <w:rPr>
                <w:rFonts w:eastAsia="Times New Roman" w:cs="Times New Roman"/>
              </w:rPr>
              <w:t>Dec</w:t>
            </w:r>
          </w:p>
        </w:tc>
      </w:tr>
      <w:tr w:rsidR="00743FBE" w:rsidRPr="00D96148" w14:paraId="25CA5561" w14:textId="77777777" w:rsidTr="00EC67BD">
        <w:trPr>
          <w:trHeight w:val="261"/>
        </w:trPr>
        <w:tc>
          <w:tcPr>
            <w:tcW w:w="2330" w:type="dxa"/>
            <w:noWrap/>
            <w:vAlign w:val="center"/>
            <w:hideMark/>
          </w:tcPr>
          <w:p w14:paraId="753F7DB0" w14:textId="77777777" w:rsidR="00743FBE" w:rsidRPr="00491D9F" w:rsidRDefault="00743FBE" w:rsidP="00743FBE">
            <w:pPr>
              <w:rPr>
                <w:rFonts w:eastAsia="Times New Roman" w:cs="Times New Roman"/>
              </w:rPr>
            </w:pPr>
            <w:r w:rsidRPr="00491D9F">
              <w:rPr>
                <w:rFonts w:eastAsia="Times New Roman" w:cs="Times New Roman"/>
              </w:rPr>
              <w:t>Fastenal</w:t>
            </w:r>
          </w:p>
        </w:tc>
        <w:tc>
          <w:tcPr>
            <w:tcW w:w="1180" w:type="dxa"/>
            <w:noWrap/>
            <w:vAlign w:val="center"/>
            <w:hideMark/>
          </w:tcPr>
          <w:p w14:paraId="1FC5CB8A" w14:textId="77777777" w:rsidR="00743FBE" w:rsidRPr="00491D9F" w:rsidRDefault="00743FBE" w:rsidP="00743FBE">
            <w:pPr>
              <w:jc w:val="center"/>
              <w:rPr>
                <w:rFonts w:eastAsia="Times New Roman" w:cs="Times New Roman"/>
              </w:rPr>
            </w:pPr>
            <w:r w:rsidRPr="00491D9F">
              <w:rPr>
                <w:rFonts w:eastAsia="Times New Roman" w:cs="Times New Roman"/>
              </w:rPr>
              <w:t>FAST</w:t>
            </w:r>
          </w:p>
        </w:tc>
        <w:tc>
          <w:tcPr>
            <w:tcW w:w="1370" w:type="dxa"/>
            <w:noWrap/>
            <w:vAlign w:val="center"/>
            <w:hideMark/>
          </w:tcPr>
          <w:p w14:paraId="021E37B1" w14:textId="77777777" w:rsidR="00743FBE" w:rsidRPr="00491D9F" w:rsidRDefault="00743FBE" w:rsidP="00743FBE">
            <w:pPr>
              <w:rPr>
                <w:rFonts w:eastAsia="Times New Roman" w:cs="Times New Roman"/>
                <w:color w:val="auto"/>
              </w:rPr>
            </w:pPr>
            <w:r>
              <w:rPr>
                <w:rFonts w:eastAsia="Times New Roman" w:cs="Times New Roman"/>
                <w:color w:val="auto"/>
              </w:rPr>
              <w:t>Paul (2)</w:t>
            </w:r>
          </w:p>
        </w:tc>
        <w:tc>
          <w:tcPr>
            <w:tcW w:w="1525" w:type="dxa"/>
            <w:noWrap/>
          </w:tcPr>
          <w:p w14:paraId="5C4B2A83" w14:textId="0C368CA0" w:rsidR="00743FBE" w:rsidRPr="009F2CD9" w:rsidRDefault="00743FBE" w:rsidP="00743FBE">
            <w:pPr>
              <w:jc w:val="center"/>
              <w:rPr>
                <w:rFonts w:cs="Times New Roman"/>
              </w:rPr>
            </w:pPr>
            <w:r>
              <w:rPr>
                <w:rFonts w:cs="Times New Roman"/>
              </w:rPr>
              <w:t>HOLD</w:t>
            </w:r>
          </w:p>
        </w:tc>
        <w:tc>
          <w:tcPr>
            <w:tcW w:w="1525" w:type="dxa"/>
            <w:noWrap/>
          </w:tcPr>
          <w:p w14:paraId="4AAAB9AF" w14:textId="23BD8A5A" w:rsidR="00743FBE" w:rsidRPr="009F2CD9" w:rsidRDefault="00743FBE" w:rsidP="00743FBE">
            <w:pPr>
              <w:jc w:val="center"/>
              <w:rPr>
                <w:rFonts w:cs="Times New Roman"/>
              </w:rPr>
            </w:pPr>
            <w:r>
              <w:rPr>
                <w:rFonts w:cs="Times New Roman"/>
              </w:rPr>
              <w:t>HOLD</w:t>
            </w:r>
          </w:p>
        </w:tc>
        <w:tc>
          <w:tcPr>
            <w:tcW w:w="1041" w:type="dxa"/>
            <w:shd w:val="clear" w:color="auto" w:fill="auto"/>
            <w:noWrap/>
            <w:vAlign w:val="center"/>
          </w:tcPr>
          <w:p w14:paraId="12A2541B" w14:textId="77777777" w:rsidR="00743FBE" w:rsidRPr="009F2CD9" w:rsidRDefault="00743FBE" w:rsidP="00743FBE">
            <w:pPr>
              <w:jc w:val="center"/>
              <w:rPr>
                <w:rFonts w:cs="Times New Roman"/>
              </w:rPr>
            </w:pPr>
            <w:r w:rsidRPr="009F2CD9">
              <w:rPr>
                <w:rFonts w:cs="Times New Roman"/>
              </w:rPr>
              <w:t>300</w:t>
            </w:r>
          </w:p>
        </w:tc>
        <w:tc>
          <w:tcPr>
            <w:tcW w:w="1047" w:type="dxa"/>
            <w:vAlign w:val="center"/>
          </w:tcPr>
          <w:p w14:paraId="78814800" w14:textId="77777777" w:rsidR="00743FBE" w:rsidRPr="00491D9F" w:rsidRDefault="00743FBE" w:rsidP="00743FBE">
            <w:pPr>
              <w:jc w:val="center"/>
              <w:rPr>
                <w:rFonts w:eastAsia="Times New Roman" w:cs="Times New Roman"/>
              </w:rPr>
            </w:pPr>
          </w:p>
        </w:tc>
        <w:tc>
          <w:tcPr>
            <w:tcW w:w="1180" w:type="dxa"/>
            <w:noWrap/>
            <w:vAlign w:val="center"/>
          </w:tcPr>
          <w:p w14:paraId="12B4310C" w14:textId="77777777" w:rsidR="00743FBE" w:rsidRPr="00491D9F" w:rsidRDefault="00743FBE" w:rsidP="00743FBE">
            <w:pPr>
              <w:jc w:val="center"/>
              <w:rPr>
                <w:rFonts w:eastAsia="Times New Roman" w:cs="Times New Roman"/>
              </w:rPr>
            </w:pPr>
            <w:r w:rsidRPr="00491D9F">
              <w:rPr>
                <w:rFonts w:eastAsia="Times New Roman" w:cs="Times New Roman"/>
              </w:rPr>
              <w:t>Dec</w:t>
            </w:r>
          </w:p>
        </w:tc>
      </w:tr>
      <w:tr w:rsidR="00743FBE" w:rsidRPr="00D96148" w14:paraId="6285548B" w14:textId="77777777" w:rsidTr="00EC67BD">
        <w:trPr>
          <w:trHeight w:val="261"/>
        </w:trPr>
        <w:tc>
          <w:tcPr>
            <w:tcW w:w="2330" w:type="dxa"/>
            <w:noWrap/>
            <w:vAlign w:val="center"/>
          </w:tcPr>
          <w:p w14:paraId="5E3A30AB" w14:textId="77777777" w:rsidR="00743FBE" w:rsidRPr="00491D9F" w:rsidRDefault="00743FBE" w:rsidP="00743FBE">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14:paraId="796A066E" w14:textId="77777777" w:rsidR="00743FBE" w:rsidRPr="00491D9F" w:rsidRDefault="00743FBE" w:rsidP="00743FBE">
            <w:pPr>
              <w:jc w:val="center"/>
              <w:rPr>
                <w:rFonts w:eastAsia="Times New Roman" w:cs="Times New Roman"/>
              </w:rPr>
            </w:pPr>
            <w:r w:rsidRPr="00491D9F">
              <w:rPr>
                <w:rFonts w:eastAsia="Times New Roman" w:cs="Times New Roman"/>
              </w:rPr>
              <w:t>FSPHX</w:t>
            </w:r>
          </w:p>
        </w:tc>
        <w:tc>
          <w:tcPr>
            <w:tcW w:w="1370" w:type="dxa"/>
            <w:noWrap/>
            <w:vAlign w:val="center"/>
          </w:tcPr>
          <w:p w14:paraId="7385A2E4" w14:textId="77777777" w:rsidR="00743FBE" w:rsidRPr="00491D9F" w:rsidRDefault="00743FBE" w:rsidP="00743FBE">
            <w:pPr>
              <w:jc w:val="center"/>
              <w:rPr>
                <w:rFonts w:eastAsia="Times New Roman" w:cs="Times New Roman"/>
                <w:color w:val="auto"/>
              </w:rPr>
            </w:pPr>
            <w:r w:rsidRPr="00491D9F">
              <w:rPr>
                <w:rFonts w:eastAsia="Times New Roman" w:cs="Times New Roman"/>
                <w:color w:val="auto"/>
              </w:rPr>
              <w:t>---</w:t>
            </w:r>
          </w:p>
        </w:tc>
        <w:tc>
          <w:tcPr>
            <w:tcW w:w="1525" w:type="dxa"/>
            <w:noWrap/>
          </w:tcPr>
          <w:p w14:paraId="68C70B9F" w14:textId="77777777" w:rsidR="00743FBE" w:rsidRDefault="00743FBE" w:rsidP="00743FBE">
            <w:pPr>
              <w:jc w:val="center"/>
            </w:pPr>
          </w:p>
        </w:tc>
        <w:tc>
          <w:tcPr>
            <w:tcW w:w="1525" w:type="dxa"/>
            <w:noWrap/>
          </w:tcPr>
          <w:p w14:paraId="3715CA46" w14:textId="77777777" w:rsidR="00743FBE" w:rsidRDefault="00743FBE" w:rsidP="00743FBE">
            <w:pPr>
              <w:jc w:val="center"/>
            </w:pPr>
          </w:p>
        </w:tc>
        <w:tc>
          <w:tcPr>
            <w:tcW w:w="1041" w:type="dxa"/>
            <w:shd w:val="clear" w:color="auto" w:fill="auto"/>
            <w:noWrap/>
            <w:vAlign w:val="center"/>
          </w:tcPr>
          <w:p w14:paraId="59FDAE67" w14:textId="77777777" w:rsidR="00743FBE" w:rsidRPr="009F2CD9" w:rsidRDefault="00743FBE" w:rsidP="00743FBE">
            <w:pPr>
              <w:jc w:val="center"/>
              <w:rPr>
                <w:rFonts w:cs="Times New Roman"/>
              </w:rPr>
            </w:pPr>
            <w:r w:rsidRPr="009F2CD9">
              <w:rPr>
                <w:rFonts w:cs="Times New Roman"/>
              </w:rPr>
              <w:t>338.5150</w:t>
            </w:r>
          </w:p>
        </w:tc>
        <w:tc>
          <w:tcPr>
            <w:tcW w:w="1047" w:type="dxa"/>
            <w:vAlign w:val="center"/>
          </w:tcPr>
          <w:p w14:paraId="7418907D" w14:textId="77777777" w:rsidR="00743FBE" w:rsidRPr="00491D9F" w:rsidRDefault="00743FBE" w:rsidP="00743FBE">
            <w:pPr>
              <w:jc w:val="center"/>
              <w:rPr>
                <w:rFonts w:eastAsia="Times New Roman" w:cs="Times New Roman"/>
              </w:rPr>
            </w:pPr>
          </w:p>
        </w:tc>
        <w:tc>
          <w:tcPr>
            <w:tcW w:w="1180" w:type="dxa"/>
            <w:noWrap/>
            <w:vAlign w:val="center"/>
          </w:tcPr>
          <w:p w14:paraId="6D6BFAE7" w14:textId="77777777" w:rsidR="00743FBE" w:rsidRPr="00491D9F" w:rsidRDefault="00743FBE" w:rsidP="00743FBE">
            <w:pPr>
              <w:jc w:val="center"/>
              <w:rPr>
                <w:rFonts w:eastAsia="Times New Roman" w:cs="Times New Roman"/>
                <w:color w:val="auto"/>
              </w:rPr>
            </w:pPr>
            <w:r w:rsidRPr="00491D9F">
              <w:rPr>
                <w:rFonts w:eastAsia="Times New Roman" w:cs="Times New Roman"/>
                <w:color w:val="auto"/>
              </w:rPr>
              <w:t>---</w:t>
            </w:r>
          </w:p>
        </w:tc>
      </w:tr>
      <w:tr w:rsidR="00C761A7" w:rsidRPr="00D96148" w14:paraId="2840754F" w14:textId="77777777" w:rsidTr="00EC67BD">
        <w:trPr>
          <w:trHeight w:val="261"/>
        </w:trPr>
        <w:tc>
          <w:tcPr>
            <w:tcW w:w="2330" w:type="dxa"/>
            <w:noWrap/>
            <w:vAlign w:val="center"/>
          </w:tcPr>
          <w:p w14:paraId="3009569A" w14:textId="77777777" w:rsidR="00C761A7" w:rsidRPr="00491D9F" w:rsidRDefault="00C761A7" w:rsidP="00C761A7">
            <w:pPr>
              <w:rPr>
                <w:rFonts w:eastAsia="Times New Roman" w:cs="Times New Roman"/>
              </w:rPr>
            </w:pPr>
            <w:r w:rsidRPr="00491D9F">
              <w:rPr>
                <w:rFonts w:eastAsia="Times New Roman" w:cs="Times New Roman"/>
              </w:rPr>
              <w:t>IRobot</w:t>
            </w:r>
          </w:p>
        </w:tc>
        <w:tc>
          <w:tcPr>
            <w:tcW w:w="1180" w:type="dxa"/>
            <w:noWrap/>
            <w:vAlign w:val="center"/>
          </w:tcPr>
          <w:p w14:paraId="714C2051" w14:textId="77777777" w:rsidR="00C761A7" w:rsidRPr="00491D9F" w:rsidRDefault="00C761A7" w:rsidP="00C761A7">
            <w:pPr>
              <w:jc w:val="center"/>
              <w:rPr>
                <w:rFonts w:eastAsia="Times New Roman" w:cs="Times New Roman"/>
              </w:rPr>
            </w:pPr>
            <w:r w:rsidRPr="00491D9F">
              <w:rPr>
                <w:rFonts w:eastAsia="Times New Roman" w:cs="Times New Roman"/>
              </w:rPr>
              <w:t>IRBT</w:t>
            </w:r>
          </w:p>
        </w:tc>
        <w:tc>
          <w:tcPr>
            <w:tcW w:w="1370" w:type="dxa"/>
            <w:noWrap/>
            <w:vAlign w:val="center"/>
          </w:tcPr>
          <w:p w14:paraId="1080C37B" w14:textId="77777777" w:rsidR="00C761A7" w:rsidRPr="00491D9F" w:rsidRDefault="00C761A7" w:rsidP="00C761A7">
            <w:pPr>
              <w:rPr>
                <w:rFonts w:eastAsia="Times New Roman" w:cs="Times New Roman"/>
                <w:color w:val="auto"/>
              </w:rPr>
            </w:pPr>
            <w:r>
              <w:rPr>
                <w:rFonts w:eastAsia="Times New Roman" w:cs="Times New Roman"/>
                <w:color w:val="auto"/>
              </w:rPr>
              <w:t>Marty</w:t>
            </w:r>
          </w:p>
        </w:tc>
        <w:tc>
          <w:tcPr>
            <w:tcW w:w="1525" w:type="dxa"/>
            <w:noWrap/>
          </w:tcPr>
          <w:p w14:paraId="36D8097F" w14:textId="62A74C85" w:rsidR="00C761A7" w:rsidRPr="009F2CD9" w:rsidRDefault="00C761A7" w:rsidP="00C761A7">
            <w:pPr>
              <w:jc w:val="center"/>
              <w:rPr>
                <w:rFonts w:cs="Times New Roman"/>
              </w:rPr>
            </w:pPr>
            <w:r>
              <w:rPr>
                <w:rFonts w:cs="Times New Roman"/>
              </w:rPr>
              <w:t>HOLD</w:t>
            </w:r>
          </w:p>
        </w:tc>
        <w:tc>
          <w:tcPr>
            <w:tcW w:w="1525" w:type="dxa"/>
            <w:noWrap/>
          </w:tcPr>
          <w:p w14:paraId="18F10F60" w14:textId="472F8845" w:rsidR="00C761A7" w:rsidRPr="009F2CD9" w:rsidRDefault="00C761A7" w:rsidP="00C761A7">
            <w:pPr>
              <w:jc w:val="center"/>
              <w:rPr>
                <w:rFonts w:cs="Times New Roman"/>
              </w:rPr>
            </w:pPr>
            <w:r>
              <w:rPr>
                <w:rFonts w:cs="Times New Roman"/>
              </w:rPr>
              <w:t>BUY</w:t>
            </w:r>
          </w:p>
        </w:tc>
        <w:tc>
          <w:tcPr>
            <w:tcW w:w="1041" w:type="dxa"/>
            <w:shd w:val="clear" w:color="auto" w:fill="auto"/>
            <w:noWrap/>
            <w:vAlign w:val="center"/>
          </w:tcPr>
          <w:p w14:paraId="72E79F3A" w14:textId="77777777" w:rsidR="00C761A7" w:rsidRPr="009F2CD9" w:rsidRDefault="00C761A7" w:rsidP="00C761A7">
            <w:pPr>
              <w:jc w:val="center"/>
              <w:rPr>
                <w:rFonts w:cs="Times New Roman"/>
              </w:rPr>
            </w:pPr>
            <w:r w:rsidRPr="009F2CD9">
              <w:rPr>
                <w:rFonts w:cs="Times New Roman"/>
              </w:rPr>
              <w:t>125</w:t>
            </w:r>
          </w:p>
        </w:tc>
        <w:tc>
          <w:tcPr>
            <w:tcW w:w="1047" w:type="dxa"/>
            <w:vAlign w:val="center"/>
          </w:tcPr>
          <w:p w14:paraId="3AD46D9B" w14:textId="77777777" w:rsidR="00C761A7" w:rsidRPr="00491D9F" w:rsidRDefault="00C761A7" w:rsidP="00C761A7">
            <w:pPr>
              <w:jc w:val="center"/>
              <w:rPr>
                <w:rFonts w:eastAsia="Times New Roman" w:cs="Times New Roman"/>
              </w:rPr>
            </w:pPr>
          </w:p>
        </w:tc>
        <w:tc>
          <w:tcPr>
            <w:tcW w:w="1180" w:type="dxa"/>
            <w:noWrap/>
            <w:vAlign w:val="center"/>
          </w:tcPr>
          <w:p w14:paraId="027D9EC4" w14:textId="77777777" w:rsidR="00C761A7" w:rsidRPr="00491D9F" w:rsidRDefault="00C761A7" w:rsidP="00C761A7">
            <w:pPr>
              <w:jc w:val="center"/>
              <w:rPr>
                <w:rFonts w:eastAsia="Times New Roman" w:cs="Times New Roman"/>
              </w:rPr>
            </w:pPr>
            <w:r w:rsidRPr="00491D9F">
              <w:rPr>
                <w:rFonts w:eastAsia="Times New Roman" w:cs="Times New Roman"/>
              </w:rPr>
              <w:t>Dec</w:t>
            </w:r>
          </w:p>
        </w:tc>
      </w:tr>
      <w:tr w:rsidR="00C761A7" w:rsidRPr="00D96148" w14:paraId="4363FFA3" w14:textId="77777777" w:rsidTr="00EC67BD">
        <w:trPr>
          <w:trHeight w:val="261"/>
        </w:trPr>
        <w:tc>
          <w:tcPr>
            <w:tcW w:w="2330" w:type="dxa"/>
            <w:noWrap/>
            <w:vAlign w:val="center"/>
          </w:tcPr>
          <w:p w14:paraId="4BE122B4" w14:textId="77777777" w:rsidR="00C761A7" w:rsidRPr="00491D9F" w:rsidRDefault="00C761A7" w:rsidP="00C761A7">
            <w:pPr>
              <w:rPr>
                <w:rFonts w:eastAsia="Times New Roman" w:cs="Times New Roman"/>
              </w:rPr>
            </w:pPr>
            <w:r w:rsidRPr="00491D9F">
              <w:rPr>
                <w:rFonts w:eastAsia="Times New Roman" w:cs="Times New Roman"/>
              </w:rPr>
              <w:t>Malibu Boats</w:t>
            </w:r>
          </w:p>
        </w:tc>
        <w:tc>
          <w:tcPr>
            <w:tcW w:w="1180" w:type="dxa"/>
            <w:noWrap/>
            <w:vAlign w:val="center"/>
          </w:tcPr>
          <w:p w14:paraId="16FD3D6B" w14:textId="77777777" w:rsidR="00C761A7" w:rsidRPr="00491D9F" w:rsidRDefault="00C761A7" w:rsidP="00C761A7">
            <w:pPr>
              <w:jc w:val="center"/>
              <w:rPr>
                <w:rFonts w:eastAsia="Times New Roman" w:cs="Times New Roman"/>
              </w:rPr>
            </w:pPr>
            <w:r w:rsidRPr="00491D9F">
              <w:rPr>
                <w:rFonts w:eastAsia="Times New Roman" w:cs="Times New Roman"/>
              </w:rPr>
              <w:t>MBUU</w:t>
            </w:r>
          </w:p>
        </w:tc>
        <w:tc>
          <w:tcPr>
            <w:tcW w:w="1370" w:type="dxa"/>
            <w:noWrap/>
            <w:vAlign w:val="center"/>
          </w:tcPr>
          <w:p w14:paraId="0C29E62D" w14:textId="77777777" w:rsidR="00C761A7" w:rsidRPr="00491D9F" w:rsidRDefault="00C761A7" w:rsidP="00C761A7">
            <w:pPr>
              <w:rPr>
                <w:rFonts w:eastAsia="Times New Roman" w:cs="Times New Roman"/>
                <w:color w:val="auto"/>
              </w:rPr>
            </w:pPr>
            <w:r>
              <w:rPr>
                <w:rFonts w:eastAsia="Times New Roman" w:cs="Times New Roman"/>
                <w:color w:val="auto"/>
              </w:rPr>
              <w:t xml:space="preserve">Dene </w:t>
            </w:r>
          </w:p>
        </w:tc>
        <w:tc>
          <w:tcPr>
            <w:tcW w:w="1525" w:type="dxa"/>
            <w:noWrap/>
          </w:tcPr>
          <w:p w14:paraId="3E6FF795" w14:textId="17B2C90D" w:rsidR="00C761A7" w:rsidRPr="009F2CD9" w:rsidRDefault="00C761A7" w:rsidP="00C761A7">
            <w:pPr>
              <w:jc w:val="center"/>
              <w:rPr>
                <w:rFonts w:cs="Times New Roman"/>
              </w:rPr>
            </w:pPr>
            <w:r>
              <w:rPr>
                <w:rFonts w:cs="Times New Roman"/>
              </w:rPr>
              <w:t>BUY 10sh</w:t>
            </w:r>
          </w:p>
        </w:tc>
        <w:tc>
          <w:tcPr>
            <w:tcW w:w="1525" w:type="dxa"/>
            <w:noWrap/>
          </w:tcPr>
          <w:p w14:paraId="6879E18C" w14:textId="24335C82" w:rsidR="00C761A7" w:rsidRPr="009F2CD9" w:rsidRDefault="00C761A7" w:rsidP="00C761A7">
            <w:pPr>
              <w:jc w:val="center"/>
              <w:rPr>
                <w:rFonts w:cs="Times New Roman"/>
              </w:rPr>
            </w:pPr>
            <w:r>
              <w:rPr>
                <w:rFonts w:cs="Times New Roman"/>
              </w:rPr>
              <w:t>BUY</w:t>
            </w:r>
          </w:p>
        </w:tc>
        <w:tc>
          <w:tcPr>
            <w:tcW w:w="1041" w:type="dxa"/>
            <w:shd w:val="clear" w:color="auto" w:fill="auto"/>
            <w:noWrap/>
            <w:vAlign w:val="center"/>
          </w:tcPr>
          <w:p w14:paraId="26CEB092" w14:textId="77777777" w:rsidR="00C761A7" w:rsidRPr="009F2CD9" w:rsidRDefault="00C761A7" w:rsidP="00C761A7">
            <w:pPr>
              <w:jc w:val="center"/>
              <w:rPr>
                <w:rFonts w:cs="Times New Roman"/>
              </w:rPr>
            </w:pPr>
            <w:r>
              <w:rPr>
                <w:rFonts w:cs="Times New Roman"/>
              </w:rPr>
              <w:t>160</w:t>
            </w:r>
          </w:p>
        </w:tc>
        <w:tc>
          <w:tcPr>
            <w:tcW w:w="1047" w:type="dxa"/>
            <w:vAlign w:val="center"/>
          </w:tcPr>
          <w:p w14:paraId="62589C6A" w14:textId="77777777" w:rsidR="00C761A7" w:rsidRPr="00491D9F" w:rsidRDefault="00C761A7" w:rsidP="00C761A7">
            <w:pPr>
              <w:jc w:val="center"/>
              <w:rPr>
                <w:rFonts w:eastAsia="Times New Roman" w:cs="Times New Roman"/>
              </w:rPr>
            </w:pPr>
          </w:p>
        </w:tc>
        <w:tc>
          <w:tcPr>
            <w:tcW w:w="1180" w:type="dxa"/>
            <w:noWrap/>
            <w:vAlign w:val="center"/>
          </w:tcPr>
          <w:p w14:paraId="7C75845E" w14:textId="77777777" w:rsidR="00C761A7" w:rsidRPr="00491D9F" w:rsidRDefault="00C761A7" w:rsidP="00C761A7">
            <w:pPr>
              <w:jc w:val="center"/>
              <w:rPr>
                <w:rFonts w:eastAsia="Times New Roman" w:cs="Times New Roman"/>
              </w:rPr>
            </w:pPr>
            <w:r>
              <w:rPr>
                <w:rFonts w:eastAsia="Times New Roman" w:cs="Times New Roman"/>
              </w:rPr>
              <w:t>Jun</w:t>
            </w:r>
          </w:p>
        </w:tc>
      </w:tr>
      <w:tr w:rsidR="00C761A7" w:rsidRPr="00D96148" w14:paraId="72435DED" w14:textId="77777777" w:rsidTr="00EC67BD">
        <w:trPr>
          <w:trHeight w:val="261"/>
        </w:trPr>
        <w:tc>
          <w:tcPr>
            <w:tcW w:w="2330" w:type="dxa"/>
            <w:noWrap/>
            <w:vAlign w:val="center"/>
          </w:tcPr>
          <w:p w14:paraId="6E52E2DC" w14:textId="77777777" w:rsidR="00C761A7" w:rsidRPr="00491D9F" w:rsidRDefault="00C761A7" w:rsidP="00C761A7">
            <w:pPr>
              <w:rPr>
                <w:rFonts w:eastAsia="Times New Roman" w:cs="Times New Roman"/>
              </w:rPr>
            </w:pPr>
            <w:r>
              <w:rPr>
                <w:rFonts w:eastAsia="Times New Roman" w:cs="Times New Roman"/>
              </w:rPr>
              <w:t>Skechers</w:t>
            </w:r>
          </w:p>
        </w:tc>
        <w:tc>
          <w:tcPr>
            <w:tcW w:w="1180" w:type="dxa"/>
            <w:noWrap/>
            <w:vAlign w:val="center"/>
          </w:tcPr>
          <w:p w14:paraId="7CD5F92B" w14:textId="77777777" w:rsidR="00C761A7" w:rsidRPr="00491D9F" w:rsidRDefault="00C761A7" w:rsidP="00C761A7">
            <w:pPr>
              <w:jc w:val="center"/>
              <w:rPr>
                <w:rFonts w:eastAsia="Times New Roman" w:cs="Times New Roman"/>
              </w:rPr>
            </w:pPr>
            <w:r>
              <w:rPr>
                <w:rFonts w:eastAsia="Times New Roman" w:cs="Times New Roman"/>
              </w:rPr>
              <w:t>SKX</w:t>
            </w:r>
          </w:p>
        </w:tc>
        <w:tc>
          <w:tcPr>
            <w:tcW w:w="1370" w:type="dxa"/>
            <w:noWrap/>
            <w:vAlign w:val="center"/>
          </w:tcPr>
          <w:p w14:paraId="37C4F283" w14:textId="77777777" w:rsidR="00C761A7" w:rsidRDefault="00C761A7" w:rsidP="00C761A7">
            <w:pPr>
              <w:rPr>
                <w:rFonts w:eastAsia="Times New Roman" w:cs="Times New Roman"/>
                <w:color w:val="auto"/>
              </w:rPr>
            </w:pPr>
            <w:r>
              <w:rPr>
                <w:rFonts w:eastAsia="Times New Roman" w:cs="Times New Roman"/>
                <w:color w:val="auto"/>
              </w:rPr>
              <w:t>Roger (2)</w:t>
            </w:r>
          </w:p>
        </w:tc>
        <w:tc>
          <w:tcPr>
            <w:tcW w:w="1525" w:type="dxa"/>
            <w:noWrap/>
          </w:tcPr>
          <w:p w14:paraId="19986A3A" w14:textId="475C1781" w:rsidR="00C761A7" w:rsidRDefault="00534BED" w:rsidP="00C761A7">
            <w:pPr>
              <w:jc w:val="center"/>
              <w:rPr>
                <w:rFonts w:cs="Times New Roman"/>
              </w:rPr>
            </w:pPr>
            <w:r>
              <w:rPr>
                <w:rFonts w:cs="Times New Roman"/>
              </w:rPr>
              <w:t>BUY ?sh</w:t>
            </w:r>
          </w:p>
        </w:tc>
        <w:tc>
          <w:tcPr>
            <w:tcW w:w="1525" w:type="dxa"/>
            <w:noWrap/>
          </w:tcPr>
          <w:p w14:paraId="072FF65C" w14:textId="693561C7" w:rsidR="00C761A7" w:rsidRDefault="00534BED" w:rsidP="00C761A7">
            <w:pPr>
              <w:jc w:val="center"/>
              <w:rPr>
                <w:rFonts w:cs="Times New Roman"/>
              </w:rPr>
            </w:pPr>
            <w:r>
              <w:rPr>
                <w:rFonts w:cs="Times New Roman"/>
              </w:rPr>
              <w:t>BUY</w:t>
            </w:r>
          </w:p>
        </w:tc>
        <w:tc>
          <w:tcPr>
            <w:tcW w:w="1041" w:type="dxa"/>
            <w:shd w:val="clear" w:color="auto" w:fill="auto"/>
            <w:noWrap/>
            <w:vAlign w:val="center"/>
          </w:tcPr>
          <w:p w14:paraId="560ADF3E" w14:textId="77777777" w:rsidR="00C761A7" w:rsidRDefault="00C761A7" w:rsidP="00C761A7">
            <w:pPr>
              <w:jc w:val="center"/>
              <w:rPr>
                <w:rFonts w:cs="Times New Roman"/>
              </w:rPr>
            </w:pPr>
            <w:r>
              <w:rPr>
                <w:rFonts w:cs="Times New Roman"/>
              </w:rPr>
              <w:t>30</w:t>
            </w:r>
          </w:p>
        </w:tc>
        <w:tc>
          <w:tcPr>
            <w:tcW w:w="1047" w:type="dxa"/>
            <w:vAlign w:val="center"/>
          </w:tcPr>
          <w:p w14:paraId="7A2333B9" w14:textId="77777777" w:rsidR="00C761A7" w:rsidRPr="00491D9F" w:rsidRDefault="00C761A7" w:rsidP="00C761A7">
            <w:pPr>
              <w:jc w:val="center"/>
              <w:rPr>
                <w:rFonts w:eastAsia="Times New Roman" w:cs="Times New Roman"/>
              </w:rPr>
            </w:pPr>
          </w:p>
        </w:tc>
        <w:tc>
          <w:tcPr>
            <w:tcW w:w="1180" w:type="dxa"/>
            <w:noWrap/>
            <w:vAlign w:val="center"/>
          </w:tcPr>
          <w:p w14:paraId="3384371F" w14:textId="77777777" w:rsidR="00C761A7" w:rsidRDefault="00C761A7" w:rsidP="00C761A7">
            <w:pPr>
              <w:jc w:val="center"/>
              <w:rPr>
                <w:rFonts w:eastAsia="Times New Roman" w:cs="Times New Roman"/>
              </w:rPr>
            </w:pPr>
          </w:p>
        </w:tc>
      </w:tr>
      <w:tr w:rsidR="00C761A7" w:rsidRPr="00D96148" w14:paraId="75EE6AD6" w14:textId="77777777" w:rsidTr="00EC67BD">
        <w:trPr>
          <w:trHeight w:val="261"/>
        </w:trPr>
        <w:tc>
          <w:tcPr>
            <w:tcW w:w="2330" w:type="dxa"/>
            <w:noWrap/>
          </w:tcPr>
          <w:p w14:paraId="1D7739BF" w14:textId="77777777" w:rsidR="00C761A7" w:rsidRPr="00491D9F" w:rsidRDefault="00C761A7" w:rsidP="00C761A7">
            <w:pPr>
              <w:rPr>
                <w:rFonts w:eastAsia="Times New Roman" w:cs="Times New Roman"/>
              </w:rPr>
            </w:pPr>
            <w:r w:rsidRPr="00491D9F">
              <w:rPr>
                <w:rFonts w:eastAsia="Times New Roman" w:cs="Times New Roman"/>
              </w:rPr>
              <w:t>Starbucks</w:t>
            </w:r>
          </w:p>
        </w:tc>
        <w:tc>
          <w:tcPr>
            <w:tcW w:w="1180" w:type="dxa"/>
            <w:noWrap/>
          </w:tcPr>
          <w:p w14:paraId="01EF168D" w14:textId="77777777" w:rsidR="00C761A7" w:rsidRPr="00491D9F" w:rsidRDefault="00C761A7" w:rsidP="00C761A7">
            <w:pPr>
              <w:jc w:val="center"/>
              <w:rPr>
                <w:rFonts w:eastAsia="Times New Roman" w:cs="Times New Roman"/>
                <w:color w:val="auto"/>
              </w:rPr>
            </w:pPr>
            <w:r w:rsidRPr="00491D9F">
              <w:rPr>
                <w:rFonts w:eastAsia="Times New Roman" w:cs="Times New Roman"/>
                <w:color w:val="auto"/>
              </w:rPr>
              <w:t>SBUX</w:t>
            </w:r>
          </w:p>
        </w:tc>
        <w:tc>
          <w:tcPr>
            <w:tcW w:w="1370" w:type="dxa"/>
            <w:noWrap/>
          </w:tcPr>
          <w:p w14:paraId="4C40E19C" w14:textId="77777777" w:rsidR="00C761A7" w:rsidRPr="00491D9F" w:rsidRDefault="00C761A7" w:rsidP="00C761A7">
            <w:pPr>
              <w:rPr>
                <w:rFonts w:eastAsia="Times New Roman" w:cs="Times New Roman"/>
                <w:color w:val="auto"/>
              </w:rPr>
            </w:pPr>
            <w:r>
              <w:rPr>
                <w:rFonts w:eastAsia="Times New Roman" w:cs="Times New Roman"/>
                <w:color w:val="auto"/>
              </w:rPr>
              <w:t>Rich</w:t>
            </w:r>
          </w:p>
        </w:tc>
        <w:tc>
          <w:tcPr>
            <w:tcW w:w="1525" w:type="dxa"/>
          </w:tcPr>
          <w:p w14:paraId="701BF4F7" w14:textId="269E3B79" w:rsidR="00C761A7" w:rsidRPr="009F2CD9" w:rsidRDefault="00C761A7" w:rsidP="00C761A7">
            <w:pPr>
              <w:jc w:val="center"/>
              <w:rPr>
                <w:rFonts w:cs="Times New Roman"/>
              </w:rPr>
            </w:pPr>
            <w:r>
              <w:rPr>
                <w:rFonts w:cs="Times New Roman"/>
              </w:rPr>
              <w:t>BUY 10sh</w:t>
            </w:r>
          </w:p>
        </w:tc>
        <w:tc>
          <w:tcPr>
            <w:tcW w:w="1525" w:type="dxa"/>
          </w:tcPr>
          <w:p w14:paraId="7B9189A9" w14:textId="3ED72F13" w:rsidR="00C761A7" w:rsidRPr="009F2CD9" w:rsidRDefault="00C761A7" w:rsidP="00C761A7">
            <w:pPr>
              <w:jc w:val="center"/>
              <w:rPr>
                <w:rFonts w:cs="Times New Roman"/>
              </w:rPr>
            </w:pPr>
            <w:r>
              <w:rPr>
                <w:rFonts w:cs="Times New Roman"/>
              </w:rPr>
              <w:t>BUY</w:t>
            </w:r>
          </w:p>
        </w:tc>
        <w:tc>
          <w:tcPr>
            <w:tcW w:w="1041" w:type="dxa"/>
            <w:shd w:val="clear" w:color="auto" w:fill="auto"/>
            <w:vAlign w:val="center"/>
          </w:tcPr>
          <w:p w14:paraId="195B01D2" w14:textId="77777777" w:rsidR="00C761A7" w:rsidRPr="009F2CD9" w:rsidRDefault="00C761A7" w:rsidP="00C761A7">
            <w:pPr>
              <w:jc w:val="center"/>
              <w:rPr>
                <w:rFonts w:cs="Times New Roman"/>
              </w:rPr>
            </w:pPr>
            <w:r w:rsidRPr="009F2CD9">
              <w:rPr>
                <w:rFonts w:cs="Times New Roman"/>
              </w:rPr>
              <w:t>80</w:t>
            </w:r>
          </w:p>
        </w:tc>
        <w:tc>
          <w:tcPr>
            <w:tcW w:w="1047" w:type="dxa"/>
            <w:noWrap/>
          </w:tcPr>
          <w:p w14:paraId="53619EA5" w14:textId="77777777" w:rsidR="00C761A7" w:rsidRPr="00491D9F" w:rsidRDefault="00C761A7" w:rsidP="00C761A7">
            <w:pPr>
              <w:jc w:val="center"/>
              <w:rPr>
                <w:rFonts w:eastAsia="Times New Roman" w:cs="Times New Roman"/>
                <w:color w:val="auto"/>
              </w:rPr>
            </w:pPr>
          </w:p>
        </w:tc>
        <w:tc>
          <w:tcPr>
            <w:tcW w:w="1180" w:type="dxa"/>
            <w:noWrap/>
          </w:tcPr>
          <w:p w14:paraId="630FF31C" w14:textId="77777777" w:rsidR="00C761A7" w:rsidRPr="00491D9F" w:rsidRDefault="00C761A7" w:rsidP="00C761A7">
            <w:pPr>
              <w:jc w:val="center"/>
              <w:rPr>
                <w:rFonts w:eastAsia="Times New Roman" w:cs="Times New Roman"/>
                <w:color w:val="auto"/>
              </w:rPr>
            </w:pPr>
            <w:r w:rsidRPr="00491D9F">
              <w:rPr>
                <w:rFonts w:eastAsia="Times New Roman" w:cs="Times New Roman"/>
                <w:color w:val="auto"/>
              </w:rPr>
              <w:t>Sep</w:t>
            </w:r>
          </w:p>
        </w:tc>
      </w:tr>
      <w:tr w:rsidR="00C761A7" w:rsidRPr="00D96148" w14:paraId="54D07BB0" w14:textId="77777777" w:rsidTr="00EC67BD">
        <w:trPr>
          <w:trHeight w:val="261"/>
        </w:trPr>
        <w:tc>
          <w:tcPr>
            <w:tcW w:w="2330" w:type="dxa"/>
            <w:noWrap/>
          </w:tcPr>
          <w:p w14:paraId="568582A3" w14:textId="77777777" w:rsidR="00C761A7" w:rsidRPr="00491D9F" w:rsidRDefault="00C761A7" w:rsidP="00C761A7">
            <w:pPr>
              <w:rPr>
                <w:rFonts w:eastAsia="Times New Roman" w:cs="Times New Roman"/>
              </w:rPr>
            </w:pPr>
            <w:r>
              <w:rPr>
                <w:rFonts w:eastAsia="Times New Roman" w:cs="Times New Roman"/>
              </w:rPr>
              <w:t>T Rowe Price</w:t>
            </w:r>
          </w:p>
        </w:tc>
        <w:tc>
          <w:tcPr>
            <w:tcW w:w="1180" w:type="dxa"/>
            <w:noWrap/>
          </w:tcPr>
          <w:p w14:paraId="5AF17A75" w14:textId="77777777" w:rsidR="00C761A7" w:rsidRPr="00491D9F" w:rsidRDefault="00C761A7" w:rsidP="00C761A7">
            <w:pPr>
              <w:jc w:val="center"/>
              <w:rPr>
                <w:rFonts w:eastAsia="Times New Roman" w:cs="Times New Roman"/>
                <w:color w:val="auto"/>
              </w:rPr>
            </w:pPr>
            <w:r>
              <w:rPr>
                <w:rFonts w:eastAsia="Times New Roman" w:cs="Times New Roman"/>
                <w:color w:val="auto"/>
              </w:rPr>
              <w:t>TROW</w:t>
            </w:r>
          </w:p>
        </w:tc>
        <w:tc>
          <w:tcPr>
            <w:tcW w:w="1370" w:type="dxa"/>
            <w:noWrap/>
          </w:tcPr>
          <w:p w14:paraId="7CF3D323" w14:textId="77777777" w:rsidR="00C761A7" w:rsidRDefault="00C761A7" w:rsidP="00C761A7">
            <w:pPr>
              <w:rPr>
                <w:rFonts w:eastAsia="Times New Roman" w:cs="Times New Roman"/>
                <w:color w:val="auto"/>
              </w:rPr>
            </w:pPr>
            <w:r>
              <w:rPr>
                <w:rFonts w:eastAsia="Times New Roman" w:cs="Times New Roman"/>
                <w:color w:val="auto"/>
              </w:rPr>
              <w:t>Paul (2)</w:t>
            </w:r>
          </w:p>
        </w:tc>
        <w:tc>
          <w:tcPr>
            <w:tcW w:w="1525" w:type="dxa"/>
          </w:tcPr>
          <w:p w14:paraId="30F7D07D" w14:textId="198C0DA4" w:rsidR="00C761A7" w:rsidRPr="009F2CD9" w:rsidRDefault="00C761A7" w:rsidP="00C761A7">
            <w:pPr>
              <w:jc w:val="center"/>
              <w:rPr>
                <w:rFonts w:cs="Times New Roman"/>
              </w:rPr>
            </w:pPr>
            <w:r>
              <w:rPr>
                <w:rFonts w:cs="Times New Roman"/>
              </w:rPr>
              <w:t>HOLD</w:t>
            </w:r>
          </w:p>
        </w:tc>
        <w:tc>
          <w:tcPr>
            <w:tcW w:w="1525" w:type="dxa"/>
          </w:tcPr>
          <w:p w14:paraId="2E061F1B" w14:textId="2CF419D5" w:rsidR="00C761A7" w:rsidRPr="009F2CD9" w:rsidRDefault="00C761A7" w:rsidP="00C761A7">
            <w:pPr>
              <w:jc w:val="center"/>
              <w:rPr>
                <w:rFonts w:cs="Times New Roman"/>
              </w:rPr>
            </w:pPr>
            <w:r>
              <w:rPr>
                <w:rFonts w:cs="Times New Roman"/>
              </w:rPr>
              <w:t>HOLD</w:t>
            </w:r>
          </w:p>
        </w:tc>
        <w:tc>
          <w:tcPr>
            <w:tcW w:w="1041" w:type="dxa"/>
            <w:shd w:val="clear" w:color="auto" w:fill="auto"/>
            <w:vAlign w:val="center"/>
          </w:tcPr>
          <w:p w14:paraId="3BE42487" w14:textId="77777777" w:rsidR="00C761A7" w:rsidRPr="009F2CD9" w:rsidRDefault="00C761A7" w:rsidP="00C761A7">
            <w:pPr>
              <w:jc w:val="center"/>
              <w:rPr>
                <w:rFonts w:cs="Times New Roman"/>
              </w:rPr>
            </w:pPr>
            <w:r>
              <w:rPr>
                <w:rFonts w:cs="Times New Roman"/>
              </w:rPr>
              <w:t>45</w:t>
            </w:r>
          </w:p>
        </w:tc>
        <w:tc>
          <w:tcPr>
            <w:tcW w:w="1047" w:type="dxa"/>
            <w:noWrap/>
          </w:tcPr>
          <w:p w14:paraId="3A5A2117" w14:textId="77777777" w:rsidR="00C761A7" w:rsidRDefault="00C761A7" w:rsidP="00C761A7">
            <w:pPr>
              <w:jc w:val="center"/>
              <w:rPr>
                <w:rFonts w:eastAsia="Times New Roman" w:cs="Times New Roman"/>
                <w:color w:val="auto"/>
              </w:rPr>
            </w:pPr>
          </w:p>
        </w:tc>
        <w:tc>
          <w:tcPr>
            <w:tcW w:w="1180" w:type="dxa"/>
            <w:noWrap/>
          </w:tcPr>
          <w:p w14:paraId="2EB4453A" w14:textId="77777777" w:rsidR="00C761A7" w:rsidRPr="00491D9F" w:rsidRDefault="00C761A7" w:rsidP="00C761A7">
            <w:pPr>
              <w:jc w:val="center"/>
              <w:rPr>
                <w:rFonts w:eastAsia="Times New Roman" w:cs="Times New Roman"/>
                <w:color w:val="auto"/>
              </w:rPr>
            </w:pPr>
            <w:r>
              <w:rPr>
                <w:rFonts w:eastAsia="Times New Roman" w:cs="Times New Roman"/>
                <w:color w:val="auto"/>
              </w:rPr>
              <w:t>Dec</w:t>
            </w:r>
          </w:p>
        </w:tc>
      </w:tr>
      <w:tr w:rsidR="00CB5530" w:rsidRPr="00D96148" w14:paraId="3C1E5905" w14:textId="77777777" w:rsidTr="00EC67BD">
        <w:trPr>
          <w:trHeight w:val="261"/>
        </w:trPr>
        <w:tc>
          <w:tcPr>
            <w:tcW w:w="2330" w:type="dxa"/>
            <w:noWrap/>
          </w:tcPr>
          <w:p w14:paraId="5D2602ED" w14:textId="77777777" w:rsidR="00CB5530" w:rsidRPr="00491D9F" w:rsidRDefault="00CB5530" w:rsidP="00CB5530">
            <w:pPr>
              <w:rPr>
                <w:rFonts w:eastAsia="Times New Roman" w:cs="Times New Roman"/>
              </w:rPr>
            </w:pPr>
            <w:r w:rsidRPr="00491D9F">
              <w:rPr>
                <w:rFonts w:eastAsia="Times New Roman" w:cs="Times New Roman"/>
              </w:rPr>
              <w:t>Tractor Supply</w:t>
            </w:r>
          </w:p>
        </w:tc>
        <w:tc>
          <w:tcPr>
            <w:tcW w:w="1180" w:type="dxa"/>
            <w:noWrap/>
          </w:tcPr>
          <w:p w14:paraId="164B1ED5" w14:textId="77777777" w:rsidR="00CB5530" w:rsidRPr="00491D9F" w:rsidRDefault="00CB5530" w:rsidP="00CB5530">
            <w:pPr>
              <w:jc w:val="center"/>
              <w:rPr>
                <w:rFonts w:eastAsia="Times New Roman" w:cs="Times New Roman"/>
              </w:rPr>
            </w:pPr>
            <w:r w:rsidRPr="00491D9F">
              <w:rPr>
                <w:rFonts w:eastAsia="Times New Roman" w:cs="Times New Roman"/>
              </w:rPr>
              <w:t>TSCO</w:t>
            </w:r>
          </w:p>
        </w:tc>
        <w:tc>
          <w:tcPr>
            <w:tcW w:w="1370" w:type="dxa"/>
            <w:noWrap/>
          </w:tcPr>
          <w:p w14:paraId="5AEA97F6" w14:textId="77777777" w:rsidR="00CB5530" w:rsidRPr="00491D9F" w:rsidRDefault="00CB5530" w:rsidP="00CB5530">
            <w:pPr>
              <w:rPr>
                <w:rFonts w:eastAsia="Times New Roman" w:cs="Times New Roman"/>
                <w:color w:val="auto"/>
              </w:rPr>
            </w:pPr>
            <w:r>
              <w:rPr>
                <w:rFonts w:eastAsia="Times New Roman" w:cs="Times New Roman"/>
                <w:color w:val="auto"/>
              </w:rPr>
              <w:t>Harrison (2)</w:t>
            </w:r>
          </w:p>
        </w:tc>
        <w:tc>
          <w:tcPr>
            <w:tcW w:w="1525" w:type="dxa"/>
          </w:tcPr>
          <w:p w14:paraId="74D49640" w14:textId="66FEB1A9" w:rsidR="00CB5530" w:rsidRPr="009F2CD9" w:rsidRDefault="00CB5530" w:rsidP="00CB5530">
            <w:pPr>
              <w:jc w:val="center"/>
              <w:rPr>
                <w:rFonts w:cs="Times New Roman"/>
              </w:rPr>
            </w:pPr>
            <w:r>
              <w:rPr>
                <w:rFonts w:cs="Times New Roman"/>
              </w:rPr>
              <w:t>HOLD</w:t>
            </w:r>
          </w:p>
        </w:tc>
        <w:tc>
          <w:tcPr>
            <w:tcW w:w="1525" w:type="dxa"/>
          </w:tcPr>
          <w:p w14:paraId="1A9505F2" w14:textId="53F2943C" w:rsidR="00CB5530" w:rsidRPr="009F2CD9" w:rsidRDefault="00CB5530" w:rsidP="00CB5530">
            <w:pPr>
              <w:jc w:val="center"/>
              <w:rPr>
                <w:rFonts w:cs="Times New Roman"/>
              </w:rPr>
            </w:pPr>
            <w:r>
              <w:rPr>
                <w:rFonts w:cs="Times New Roman"/>
              </w:rPr>
              <w:t>HOLD</w:t>
            </w:r>
          </w:p>
        </w:tc>
        <w:tc>
          <w:tcPr>
            <w:tcW w:w="1041" w:type="dxa"/>
            <w:shd w:val="clear" w:color="auto" w:fill="auto"/>
            <w:vAlign w:val="center"/>
          </w:tcPr>
          <w:p w14:paraId="6211CF95" w14:textId="77777777" w:rsidR="00CB5530" w:rsidRPr="009F2CD9" w:rsidRDefault="00CB5530" w:rsidP="00CB5530">
            <w:pPr>
              <w:jc w:val="center"/>
              <w:rPr>
                <w:rFonts w:cs="Times New Roman"/>
              </w:rPr>
            </w:pPr>
            <w:r>
              <w:rPr>
                <w:rFonts w:cs="Times New Roman"/>
              </w:rPr>
              <w:t>90</w:t>
            </w:r>
          </w:p>
        </w:tc>
        <w:tc>
          <w:tcPr>
            <w:tcW w:w="1047" w:type="dxa"/>
            <w:noWrap/>
          </w:tcPr>
          <w:p w14:paraId="60556995" w14:textId="77777777" w:rsidR="00CB5530" w:rsidRPr="00491D9F" w:rsidRDefault="00CB5530" w:rsidP="00CB5530">
            <w:pPr>
              <w:jc w:val="center"/>
              <w:rPr>
                <w:rFonts w:eastAsia="Times New Roman" w:cs="Times New Roman"/>
              </w:rPr>
            </w:pPr>
          </w:p>
        </w:tc>
        <w:tc>
          <w:tcPr>
            <w:tcW w:w="1180" w:type="dxa"/>
            <w:noWrap/>
          </w:tcPr>
          <w:p w14:paraId="47C06CE5" w14:textId="77777777" w:rsidR="00CB5530" w:rsidRPr="00491D9F" w:rsidRDefault="00CB5530" w:rsidP="00CB5530">
            <w:pPr>
              <w:jc w:val="center"/>
              <w:rPr>
                <w:rFonts w:eastAsia="Times New Roman" w:cs="Times New Roman"/>
                <w:color w:val="auto"/>
              </w:rPr>
            </w:pPr>
            <w:r w:rsidRPr="00491D9F">
              <w:rPr>
                <w:rFonts w:eastAsia="Times New Roman" w:cs="Times New Roman"/>
                <w:color w:val="auto"/>
              </w:rPr>
              <w:t>Dec</w:t>
            </w:r>
          </w:p>
        </w:tc>
      </w:tr>
      <w:tr w:rsidR="00CB5530" w:rsidRPr="00D96148" w14:paraId="1E7CC9E6" w14:textId="77777777" w:rsidTr="00EC67BD">
        <w:trPr>
          <w:trHeight w:val="261"/>
        </w:trPr>
        <w:tc>
          <w:tcPr>
            <w:tcW w:w="2330" w:type="dxa"/>
            <w:noWrap/>
          </w:tcPr>
          <w:p w14:paraId="7349E7C2" w14:textId="77777777" w:rsidR="00CB5530" w:rsidRPr="00491D9F" w:rsidRDefault="00CB5530" w:rsidP="00CB5530">
            <w:pPr>
              <w:rPr>
                <w:rFonts w:eastAsia="Times New Roman" w:cs="Times New Roman"/>
              </w:rPr>
            </w:pPr>
            <w:r>
              <w:rPr>
                <w:rFonts w:eastAsia="Times New Roman" w:cs="Times New Roman"/>
              </w:rPr>
              <w:t>Western Alliance</w:t>
            </w:r>
          </w:p>
        </w:tc>
        <w:tc>
          <w:tcPr>
            <w:tcW w:w="1180" w:type="dxa"/>
            <w:noWrap/>
          </w:tcPr>
          <w:p w14:paraId="754D0099" w14:textId="77777777" w:rsidR="00CB5530" w:rsidRPr="00491D9F" w:rsidRDefault="00CB5530" w:rsidP="00CB5530">
            <w:pPr>
              <w:jc w:val="center"/>
              <w:rPr>
                <w:rFonts w:eastAsia="Times New Roman" w:cs="Times New Roman"/>
              </w:rPr>
            </w:pPr>
            <w:r>
              <w:rPr>
                <w:rFonts w:eastAsia="Times New Roman" w:cs="Times New Roman"/>
              </w:rPr>
              <w:t>WAL</w:t>
            </w:r>
          </w:p>
        </w:tc>
        <w:tc>
          <w:tcPr>
            <w:tcW w:w="1370" w:type="dxa"/>
            <w:noWrap/>
          </w:tcPr>
          <w:p w14:paraId="261CE8FE" w14:textId="77777777" w:rsidR="00CB5530" w:rsidRDefault="00CB5530" w:rsidP="00CB5530">
            <w:pPr>
              <w:rPr>
                <w:rFonts w:eastAsia="Times New Roman" w:cs="Times New Roman"/>
                <w:color w:val="auto"/>
              </w:rPr>
            </w:pPr>
            <w:r>
              <w:rPr>
                <w:rFonts w:eastAsia="Times New Roman" w:cs="Times New Roman"/>
                <w:color w:val="auto"/>
              </w:rPr>
              <w:t>Michele (2)</w:t>
            </w:r>
          </w:p>
        </w:tc>
        <w:tc>
          <w:tcPr>
            <w:tcW w:w="1525" w:type="dxa"/>
          </w:tcPr>
          <w:p w14:paraId="3E23120B" w14:textId="6618C165" w:rsidR="00CB5530" w:rsidRPr="009F2CD9" w:rsidRDefault="00F73891" w:rsidP="00CB5530">
            <w:pPr>
              <w:jc w:val="center"/>
              <w:rPr>
                <w:rFonts w:cs="Times New Roman"/>
              </w:rPr>
            </w:pPr>
            <w:r>
              <w:rPr>
                <w:rFonts w:cs="Times New Roman"/>
              </w:rPr>
              <w:t>HOLD?</w:t>
            </w:r>
          </w:p>
        </w:tc>
        <w:tc>
          <w:tcPr>
            <w:tcW w:w="1525" w:type="dxa"/>
          </w:tcPr>
          <w:p w14:paraId="62780B8F" w14:textId="31C9F74A" w:rsidR="00CB5530" w:rsidRPr="009F2CD9" w:rsidRDefault="00F73891" w:rsidP="00CB5530">
            <w:pPr>
              <w:jc w:val="center"/>
              <w:rPr>
                <w:rFonts w:cs="Times New Roman"/>
              </w:rPr>
            </w:pPr>
            <w:r>
              <w:rPr>
                <w:rFonts w:cs="Times New Roman"/>
              </w:rPr>
              <w:t>BUY</w:t>
            </w:r>
          </w:p>
        </w:tc>
        <w:tc>
          <w:tcPr>
            <w:tcW w:w="1041" w:type="dxa"/>
            <w:shd w:val="clear" w:color="auto" w:fill="auto"/>
            <w:vAlign w:val="center"/>
          </w:tcPr>
          <w:p w14:paraId="32604571" w14:textId="77777777" w:rsidR="00CB5530" w:rsidRPr="009F2CD9" w:rsidRDefault="00CB5530" w:rsidP="00CB5530">
            <w:pPr>
              <w:jc w:val="center"/>
              <w:rPr>
                <w:rFonts w:cs="Times New Roman"/>
              </w:rPr>
            </w:pPr>
            <w:r>
              <w:rPr>
                <w:rFonts w:cs="Times New Roman"/>
              </w:rPr>
              <w:t>30</w:t>
            </w:r>
          </w:p>
        </w:tc>
        <w:tc>
          <w:tcPr>
            <w:tcW w:w="1047" w:type="dxa"/>
            <w:noWrap/>
          </w:tcPr>
          <w:p w14:paraId="3254C762" w14:textId="77777777" w:rsidR="00CB5530" w:rsidRDefault="00CB5530" w:rsidP="00CB5530">
            <w:pPr>
              <w:jc w:val="center"/>
              <w:rPr>
                <w:rFonts w:eastAsia="Times New Roman" w:cs="Times New Roman"/>
              </w:rPr>
            </w:pPr>
          </w:p>
        </w:tc>
        <w:tc>
          <w:tcPr>
            <w:tcW w:w="1180" w:type="dxa"/>
            <w:noWrap/>
          </w:tcPr>
          <w:p w14:paraId="7971D171" w14:textId="77777777" w:rsidR="00CB5530" w:rsidRPr="00491D9F" w:rsidRDefault="00CB5530" w:rsidP="00CB5530">
            <w:pPr>
              <w:jc w:val="center"/>
              <w:rPr>
                <w:rFonts w:eastAsia="Times New Roman" w:cs="Times New Roman"/>
                <w:color w:val="auto"/>
              </w:rPr>
            </w:pPr>
            <w:r>
              <w:rPr>
                <w:rFonts w:eastAsia="Times New Roman" w:cs="Times New Roman"/>
                <w:color w:val="auto"/>
              </w:rPr>
              <w:t>Dec</w:t>
            </w:r>
          </w:p>
        </w:tc>
      </w:tr>
    </w:tbl>
    <w:p w14:paraId="345A3B1F" w14:textId="77777777"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14:paraId="3C46867F" w14:textId="77777777" w:rsidTr="00760E41">
        <w:tc>
          <w:tcPr>
            <w:tcW w:w="2425" w:type="dxa"/>
            <w:vAlign w:val="center"/>
          </w:tcPr>
          <w:p w14:paraId="049AE171" w14:textId="77777777"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14:paraId="44C762F9" w14:textId="77777777" w:rsidR="00DF46C9" w:rsidRDefault="005E0AA4" w:rsidP="00DF46C9">
            <w:pPr>
              <w:rPr>
                <w:rFonts w:eastAsiaTheme="minorHAnsi"/>
                <w:color w:val="auto"/>
                <w:sz w:val="24"/>
                <w:szCs w:val="24"/>
              </w:rPr>
            </w:pPr>
            <w:r>
              <w:rPr>
                <w:rStyle w:val="Hyperlink"/>
                <w:color w:val="auto"/>
                <w:u w:val="none"/>
              </w:rPr>
              <w:t xml:space="preserve">- </w:t>
            </w:r>
            <w:r w:rsidR="00DF46C9">
              <w:rPr>
                <w:rStyle w:val="Hyperlink"/>
                <w:color w:val="auto"/>
                <w:u w:val="none"/>
              </w:rPr>
              <w:t xml:space="preserve">CinMIC Portfolio: </w:t>
            </w:r>
            <w:hyperlink r:id="rId6" w:history="1">
              <w:r w:rsidR="006E726D">
                <w:rPr>
                  <w:rStyle w:val="Hyperlink"/>
                  <w:sz w:val="24"/>
                  <w:szCs w:val="24"/>
                </w:rPr>
                <w:t>https://www.manifestinvesting.com/dashboards/public/cinmic</w:t>
              </w:r>
            </w:hyperlink>
            <w:hyperlink r:id="rId7" w:history="1"/>
          </w:p>
          <w:p w14:paraId="302CC9C4" w14:textId="77777777" w:rsidR="00DF46C9" w:rsidRDefault="00DF46C9" w:rsidP="00DF46C9">
            <w:pPr>
              <w:rPr>
                <w:rFonts w:eastAsiaTheme="minorHAnsi"/>
                <w:color w:val="auto"/>
                <w:sz w:val="24"/>
                <w:szCs w:val="24"/>
              </w:rPr>
            </w:pPr>
            <w:r>
              <w:rPr>
                <w:rStyle w:val="Hyperlink"/>
                <w:color w:val="auto"/>
                <w:u w:val="none"/>
              </w:rPr>
              <w:t xml:space="preserve">- CinMIC Core Stocks: </w:t>
            </w:r>
            <w:hyperlink r:id="rId8" w:history="1">
              <w:r>
                <w:rPr>
                  <w:rStyle w:val="Hyperlink"/>
                  <w:sz w:val="24"/>
                  <w:szCs w:val="24"/>
                </w:rPr>
                <w:t>https://www.manifestinvesting.com/dashboards/public/cinmic-core</w:t>
              </w:r>
            </w:hyperlink>
          </w:p>
          <w:p w14:paraId="41453FD7" w14:textId="77777777" w:rsidR="00DF46C9" w:rsidRDefault="00DF46C9" w:rsidP="00DF46C9">
            <w:pPr>
              <w:rPr>
                <w:rFonts w:eastAsiaTheme="minorHAnsi"/>
                <w:color w:val="auto"/>
                <w:sz w:val="24"/>
                <w:szCs w:val="24"/>
              </w:rPr>
            </w:pPr>
            <w:r>
              <w:rPr>
                <w:rStyle w:val="Hyperlink"/>
                <w:color w:val="auto"/>
                <w:u w:val="none"/>
              </w:rPr>
              <w:t xml:space="preserve">- CinMIC Non-Core Stocks: </w:t>
            </w:r>
            <w:hyperlink r:id="rId9" w:history="1">
              <w:r>
                <w:rPr>
                  <w:rStyle w:val="Hyperlink"/>
                  <w:sz w:val="24"/>
                  <w:szCs w:val="24"/>
                </w:rPr>
                <w:t>https://www.manifestinvesting.com/dashboards/public/non-core</w:t>
              </w:r>
            </w:hyperlink>
          </w:p>
          <w:p w14:paraId="18AEFA91" w14:textId="77777777" w:rsidR="00DF46C9" w:rsidRDefault="00DF46C9" w:rsidP="00760E41">
            <w:pPr>
              <w:rPr>
                <w:rStyle w:val="Hyperlink"/>
                <w:sz w:val="24"/>
                <w:szCs w:val="24"/>
              </w:rPr>
            </w:pPr>
            <w:r>
              <w:rPr>
                <w:rStyle w:val="Hyperlink"/>
                <w:color w:val="auto"/>
                <w:u w:val="none"/>
              </w:rPr>
              <w:t xml:space="preserve">- CinMIC Stocks to Study: </w:t>
            </w:r>
            <w:hyperlink r:id="rId10" w:history="1">
              <w:r>
                <w:rPr>
                  <w:rStyle w:val="Hyperlink"/>
                  <w:sz w:val="24"/>
                  <w:szCs w:val="24"/>
                </w:rPr>
                <w:t>https://www.manifestinvesting.com/dashboards/public/cinmic-stocks-to-study</w:t>
              </w:r>
            </w:hyperlink>
          </w:p>
          <w:p w14:paraId="0BCF4FE4" w14:textId="77777777"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1" w:history="1">
              <w:r>
                <w:rPr>
                  <w:rStyle w:val="Hyperlink"/>
                  <w:color w:val="0000FF"/>
                </w:rPr>
                <w:t>Manifest Investing</w:t>
              </w:r>
            </w:hyperlink>
            <w:r>
              <w:t>.</w:t>
            </w:r>
          </w:p>
          <w:p w14:paraId="2B388EAF" w14:textId="77777777"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2" w:history="1">
              <w:r w:rsidRPr="00491D9F">
                <w:rPr>
                  <w:rStyle w:val="Hyperlink"/>
                </w:rPr>
                <w:t>https://www.youtube.com/watch?v=Z58tL-1g7cc</w:t>
              </w:r>
            </w:hyperlink>
          </w:p>
          <w:p w14:paraId="33C69389" w14:textId="77777777"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14:paraId="6416BEF1" w14:textId="77777777"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57A80B07" w14:textId="77777777"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p w14:paraId="64BBDF76" w14:textId="77777777"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14:paraId="16789C7E" w14:textId="77777777"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2C185375" w14:textId="77777777"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4" w:history="1">
              <w:r w:rsidRPr="00491D9F">
                <w:rPr>
                  <w:rStyle w:val="Hyperlink"/>
                </w:rPr>
                <w:t>nkavula1@comcast.net</w:t>
              </w:r>
            </w:hyperlink>
          </w:p>
        </w:tc>
      </w:tr>
    </w:tbl>
    <w:p w14:paraId="78A28B8D" w14:textId="77777777" w:rsidR="00760E41" w:rsidRDefault="00760E41" w:rsidP="00EF754F">
      <w:pPr>
        <w:spacing w:after="0"/>
        <w:jc w:val="center"/>
        <w:rPr>
          <w:rFonts w:eastAsia="Times New Roman" w:cs="Times New Roman"/>
          <w:b/>
          <w:color w:val="auto"/>
          <w:sz w:val="24"/>
          <w:szCs w:val="24"/>
        </w:rPr>
      </w:pPr>
    </w:p>
    <w:p w14:paraId="0ED0A320" w14:textId="139E01AF" w:rsidR="00B23F75" w:rsidRDefault="00491D9F" w:rsidP="000E5E70">
      <w:pPr>
        <w:spacing w:after="0"/>
        <w:jc w:val="center"/>
        <w:rPr>
          <w:rFonts w:eastAsia="Times New Roman" w:cs="Times New Roman"/>
          <w:b/>
          <w:color w:val="auto"/>
          <w:sz w:val="24"/>
          <w:szCs w:val="24"/>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14:paraId="5608331F" w14:textId="1508F404" w:rsidR="00E05F46" w:rsidRDefault="00B23F75" w:rsidP="00B23F75">
      <w:pPr>
        <w:rPr>
          <w:rFonts w:eastAsia="Times New Roman" w:cs="Times New Roman"/>
          <w:b/>
          <w:color w:val="auto"/>
        </w:rPr>
      </w:pPr>
      <w:r>
        <w:rPr>
          <w:rFonts w:eastAsia="Times New Roman" w:cs="Times New Roman"/>
          <w:b/>
          <w:color w:val="auto"/>
          <w:sz w:val="24"/>
          <w:szCs w:val="24"/>
        </w:rPr>
        <w:br w:type="page"/>
      </w:r>
      <w:r w:rsidRPr="00B23F75">
        <w:lastRenderedPageBreak/>
        <w:drawing>
          <wp:inline distT="0" distB="0" distL="0" distR="0" wp14:anchorId="40D93C8D" wp14:editId="5247515B">
            <wp:extent cx="7223760" cy="200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3760" cy="2005965"/>
                    </a:xfrm>
                    <a:prstGeom prst="rect">
                      <a:avLst/>
                    </a:prstGeom>
                    <a:noFill/>
                    <a:ln>
                      <a:noFill/>
                    </a:ln>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22932">
    <w:abstractNumId w:val="13"/>
  </w:num>
  <w:num w:numId="2" w16cid:durableId="1111365417">
    <w:abstractNumId w:val="9"/>
  </w:num>
  <w:num w:numId="3" w16cid:durableId="115371990">
    <w:abstractNumId w:val="10"/>
  </w:num>
  <w:num w:numId="4" w16cid:durableId="1970161011">
    <w:abstractNumId w:val="2"/>
  </w:num>
  <w:num w:numId="5" w16cid:durableId="2050913113">
    <w:abstractNumId w:val="16"/>
  </w:num>
  <w:num w:numId="6" w16cid:durableId="433088950">
    <w:abstractNumId w:val="1"/>
  </w:num>
  <w:num w:numId="7" w16cid:durableId="1672027570">
    <w:abstractNumId w:val="4"/>
  </w:num>
  <w:num w:numId="8" w16cid:durableId="765685993">
    <w:abstractNumId w:val="15"/>
  </w:num>
  <w:num w:numId="9" w16cid:durableId="353923834">
    <w:abstractNumId w:val="17"/>
  </w:num>
  <w:num w:numId="10" w16cid:durableId="875041935">
    <w:abstractNumId w:val="7"/>
  </w:num>
  <w:num w:numId="11" w16cid:durableId="1516729384">
    <w:abstractNumId w:val="14"/>
  </w:num>
  <w:num w:numId="12" w16cid:durableId="246815117">
    <w:abstractNumId w:val="8"/>
  </w:num>
  <w:num w:numId="13" w16cid:durableId="1411342110">
    <w:abstractNumId w:val="3"/>
  </w:num>
  <w:num w:numId="14" w16cid:durableId="419716598">
    <w:abstractNumId w:val="6"/>
  </w:num>
  <w:num w:numId="15" w16cid:durableId="1663771433">
    <w:abstractNumId w:val="0"/>
  </w:num>
  <w:num w:numId="16" w16cid:durableId="221334494">
    <w:abstractNumId w:val="5"/>
  </w:num>
  <w:num w:numId="17" w16cid:durableId="319581476">
    <w:abstractNumId w:val="11"/>
  </w:num>
  <w:num w:numId="18" w16cid:durableId="1885210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680A"/>
    <w:rsid w:val="00017257"/>
    <w:rsid w:val="00022D71"/>
    <w:rsid w:val="00025264"/>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2943"/>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5E70"/>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5F26"/>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091"/>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29E6"/>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402"/>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7C11"/>
    <w:rsid w:val="004E2D12"/>
    <w:rsid w:val="004E3F7A"/>
    <w:rsid w:val="004E452D"/>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50C9"/>
    <w:rsid w:val="00507061"/>
    <w:rsid w:val="005102C5"/>
    <w:rsid w:val="0051115C"/>
    <w:rsid w:val="005113AF"/>
    <w:rsid w:val="00511ABA"/>
    <w:rsid w:val="00512804"/>
    <w:rsid w:val="00512D7B"/>
    <w:rsid w:val="00514E5D"/>
    <w:rsid w:val="00515024"/>
    <w:rsid w:val="0052206B"/>
    <w:rsid w:val="0052279E"/>
    <w:rsid w:val="00524FA8"/>
    <w:rsid w:val="00525B49"/>
    <w:rsid w:val="00527643"/>
    <w:rsid w:val="00531810"/>
    <w:rsid w:val="00531BF4"/>
    <w:rsid w:val="00532D9A"/>
    <w:rsid w:val="00534223"/>
    <w:rsid w:val="005347FE"/>
    <w:rsid w:val="00534BED"/>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276"/>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19FB"/>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163A3"/>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17F"/>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3FBE"/>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373"/>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1B8D"/>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0974"/>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1B8B"/>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1CD3"/>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3E7B"/>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0717"/>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3F75"/>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269F"/>
    <w:rsid w:val="00BD3062"/>
    <w:rsid w:val="00BD3095"/>
    <w:rsid w:val="00BD3200"/>
    <w:rsid w:val="00BD38FD"/>
    <w:rsid w:val="00BD41DF"/>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1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530"/>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C7BBD"/>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378BA"/>
    <w:rsid w:val="00E40ED5"/>
    <w:rsid w:val="00E4587D"/>
    <w:rsid w:val="00E523E5"/>
    <w:rsid w:val="00E616EC"/>
    <w:rsid w:val="00E61B2C"/>
    <w:rsid w:val="00E629AC"/>
    <w:rsid w:val="00E657D3"/>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0869"/>
    <w:rsid w:val="00F614D4"/>
    <w:rsid w:val="00F620C1"/>
    <w:rsid w:val="00F62F3F"/>
    <w:rsid w:val="00F637E5"/>
    <w:rsid w:val="00F63E98"/>
    <w:rsid w:val="00F65A36"/>
    <w:rsid w:val="00F6617A"/>
    <w:rsid w:val="00F670FA"/>
    <w:rsid w:val="00F67EF7"/>
    <w:rsid w:val="00F70F76"/>
    <w:rsid w:val="00F711F4"/>
    <w:rsid w:val="00F72090"/>
    <w:rsid w:val="00F73891"/>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7BE"/>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BC2"/>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1">
    <w:name w:val="Mention1"/>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 TargetMode="External"/><Relationship Id="rId12" Type="http://schemas.openxmlformats.org/officeDocument/2006/relationships/hyperlink" Target="https://www.youtube.com/watch?v=Z58tL-1g7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manifestinvesting.com/clubs/630/dashboards"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https://www.manifestinvesting.com/dashboards/public/cinmic-stocks-to-study" TargetMode="External"/><Relationship Id="rId4" Type="http://schemas.openxmlformats.org/officeDocument/2006/relationships/webSettings" Target="webSettings.xml"/><Relationship Id="rId9" Type="http://schemas.openxmlformats.org/officeDocument/2006/relationships/hyperlink" Target="https://www.manifestinvesting.com/dashboards/public/non-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2199</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Richard Alden</cp:lastModifiedBy>
  <cp:revision>22</cp:revision>
  <cp:lastPrinted>2022-03-19T00:50:00Z</cp:lastPrinted>
  <dcterms:created xsi:type="dcterms:W3CDTF">2022-04-17T01:42:00Z</dcterms:created>
  <dcterms:modified xsi:type="dcterms:W3CDTF">2022-05-21T00:25:00Z</dcterms:modified>
</cp:coreProperties>
</file>