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BE4" w:rsidRPr="00757409" w:rsidRDefault="00440BE4" w:rsidP="00757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lang w:val="en"/>
        </w:rPr>
      </w:pPr>
      <w:r w:rsidRPr="00757409">
        <w:rPr>
          <w:b/>
          <w:bCs/>
          <w:sz w:val="28"/>
          <w:szCs w:val="28"/>
          <w:lang w:val="en"/>
        </w:rPr>
        <w:t>Cincinnati Model Investment Club Minutes</w:t>
      </w:r>
    </w:p>
    <w:p w:rsidR="00440BE4" w:rsidRPr="00761AFE" w:rsidRDefault="00023178" w:rsidP="00757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color w:val="FF0000"/>
          <w:lang w:val="en"/>
        </w:rPr>
      </w:pPr>
      <w:r w:rsidRPr="000602F2">
        <w:rPr>
          <w:bCs/>
          <w:lang w:val="en"/>
        </w:rPr>
        <w:t>West Chester Mid-P</w:t>
      </w:r>
      <w:r w:rsidR="004417A7">
        <w:rPr>
          <w:bCs/>
          <w:lang w:val="en"/>
        </w:rPr>
        <w:t>oint</w:t>
      </w:r>
      <w:r w:rsidR="00041373">
        <w:rPr>
          <w:bCs/>
          <w:lang w:val="en"/>
        </w:rPr>
        <w:t>e</w:t>
      </w:r>
      <w:r w:rsidR="00146B28">
        <w:rPr>
          <w:bCs/>
          <w:lang w:val="en"/>
        </w:rPr>
        <w:t xml:space="preserve"> Library – March 25</w:t>
      </w:r>
      <w:r w:rsidR="0036182A">
        <w:rPr>
          <w:bCs/>
          <w:lang w:val="en"/>
        </w:rPr>
        <w:t>, 2017</w:t>
      </w:r>
    </w:p>
    <w:p w:rsidR="00440BE4" w:rsidRPr="000602F2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lang w:val="en"/>
        </w:rPr>
      </w:pPr>
    </w:p>
    <w:p w:rsidR="00B41922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  <w:r w:rsidRPr="000602F2">
        <w:rPr>
          <w:b/>
          <w:bCs/>
          <w:u w:val="single"/>
          <w:lang w:val="en"/>
        </w:rPr>
        <w:t>Call to Order</w:t>
      </w:r>
      <w:r w:rsidRPr="000602F2">
        <w:rPr>
          <w:b/>
          <w:bCs/>
          <w:lang w:val="en"/>
        </w:rPr>
        <w:t>:</w:t>
      </w:r>
      <w:r w:rsidRPr="00041373">
        <w:rPr>
          <w:bCs/>
          <w:lang w:val="en"/>
        </w:rPr>
        <w:t xml:space="preserve"> </w:t>
      </w:r>
      <w:r w:rsidR="00266818">
        <w:rPr>
          <w:bCs/>
          <w:lang w:val="en"/>
        </w:rPr>
        <w:t xml:space="preserve">Acting </w:t>
      </w:r>
      <w:r w:rsidR="00041373">
        <w:rPr>
          <w:bCs/>
          <w:lang w:val="en"/>
        </w:rPr>
        <w:t>Presiding Partner</w:t>
      </w:r>
      <w:r w:rsidR="00266818">
        <w:rPr>
          <w:bCs/>
          <w:lang w:val="en"/>
        </w:rPr>
        <w:t xml:space="preserve"> Dene Alden</w:t>
      </w:r>
      <w:r w:rsidRPr="000602F2">
        <w:rPr>
          <w:lang w:val="en"/>
        </w:rPr>
        <w:t xml:space="preserve"> cal</w:t>
      </w:r>
      <w:r w:rsidR="00CA1FB3" w:rsidRPr="000602F2">
        <w:rPr>
          <w:lang w:val="en"/>
        </w:rPr>
        <w:t xml:space="preserve">led the meeting to order at </w:t>
      </w:r>
      <w:r w:rsidR="00266818">
        <w:rPr>
          <w:lang w:val="en"/>
        </w:rPr>
        <w:t>9:45</w:t>
      </w:r>
      <w:r w:rsidR="000A73A4" w:rsidRPr="000602F2">
        <w:rPr>
          <w:lang w:val="en"/>
        </w:rPr>
        <w:t xml:space="preserve"> AM.  </w:t>
      </w:r>
      <w:r w:rsidR="000A73A4" w:rsidRPr="000602F2">
        <w:rPr>
          <w:b/>
          <w:i/>
          <w:lang w:val="en"/>
        </w:rPr>
        <w:t>Guests on webinar</w:t>
      </w:r>
      <w:r w:rsidRPr="000602F2">
        <w:rPr>
          <w:b/>
          <w:i/>
          <w:lang w:val="en"/>
        </w:rPr>
        <w:t>:</w:t>
      </w:r>
      <w:r w:rsidR="006D47B7">
        <w:rPr>
          <w:b/>
          <w:i/>
          <w:lang w:val="en"/>
        </w:rPr>
        <w:t xml:space="preserve"> </w:t>
      </w:r>
      <w:r w:rsidR="00487E71">
        <w:rPr>
          <w:lang w:val="en"/>
        </w:rPr>
        <w:t xml:space="preserve">Dan </w:t>
      </w:r>
      <w:r w:rsidR="00266818">
        <w:rPr>
          <w:lang w:val="en"/>
        </w:rPr>
        <w:t>Kuhl, Henrietta Goolsby</w:t>
      </w:r>
      <w:r w:rsidR="00F33257">
        <w:rPr>
          <w:lang w:val="en"/>
        </w:rPr>
        <w:t xml:space="preserve"> </w:t>
      </w:r>
      <w:r w:rsidR="00F33257" w:rsidRPr="008E42EB">
        <w:rPr>
          <w:b/>
          <w:i/>
          <w:lang w:val="en"/>
        </w:rPr>
        <w:t>G</w:t>
      </w:r>
      <w:r w:rsidRPr="000602F2">
        <w:rPr>
          <w:b/>
          <w:i/>
          <w:lang w:val="en"/>
        </w:rPr>
        <w:t xml:space="preserve">uests </w:t>
      </w:r>
      <w:r w:rsidR="000A73A4" w:rsidRPr="000602F2">
        <w:rPr>
          <w:b/>
          <w:i/>
          <w:lang w:val="en"/>
        </w:rPr>
        <w:t>in person</w:t>
      </w:r>
      <w:r w:rsidRPr="000602F2">
        <w:rPr>
          <w:b/>
          <w:i/>
          <w:lang w:val="en"/>
        </w:rPr>
        <w:t>:</w:t>
      </w:r>
      <w:r w:rsidR="00417B27">
        <w:rPr>
          <w:lang w:val="en"/>
        </w:rPr>
        <w:t xml:space="preserve"> Nelson Pa</w:t>
      </w:r>
      <w:r w:rsidR="00487E71">
        <w:rPr>
          <w:lang w:val="en"/>
        </w:rPr>
        <w:t>ge</w:t>
      </w:r>
      <w:r w:rsidR="00266818">
        <w:rPr>
          <w:lang w:val="en"/>
        </w:rPr>
        <w:t>, John Yates, Jonathan Moore</w:t>
      </w:r>
    </w:p>
    <w:p w:rsidR="004B4940" w:rsidRPr="000602F2" w:rsidRDefault="004B4940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3235"/>
        <w:gridCol w:w="990"/>
        <w:gridCol w:w="1080"/>
        <w:gridCol w:w="2880"/>
        <w:gridCol w:w="810"/>
        <w:gridCol w:w="1260"/>
      </w:tblGrid>
      <w:tr w:rsidR="00440BE4" w:rsidRPr="000602F2" w:rsidTr="009C29AF">
        <w:trPr>
          <w:trHeight w:val="1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F33257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b/>
                <w:bCs/>
                <w:lang w:val="en"/>
              </w:rPr>
              <w:t>Name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F33257" w:rsidRDefault="00440BE4" w:rsidP="0075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b/>
                <w:bCs/>
                <w:lang w:val="en"/>
              </w:rPr>
              <w:t>Here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F33257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b/>
                <w:bCs/>
                <w:lang w:val="en"/>
              </w:rPr>
              <w:t>Proxy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F33257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b/>
                <w:bCs/>
                <w:lang w:val="en"/>
              </w:rPr>
              <w:t>Name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F33257" w:rsidRDefault="00440BE4" w:rsidP="0075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b/>
                <w:bCs/>
                <w:lang w:val="en"/>
              </w:rPr>
              <w:t>Here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F33257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b/>
                <w:bCs/>
                <w:lang w:val="en"/>
              </w:rPr>
              <w:t>Proxy</w:t>
            </w:r>
          </w:p>
        </w:tc>
      </w:tr>
      <w:tr w:rsidR="00D31E74" w:rsidRPr="000602F2" w:rsidTr="009C29AF">
        <w:trPr>
          <w:trHeight w:val="251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Jackie Koski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162F92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X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Harrison Baumbaugh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F33257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D31E74" w:rsidRPr="000602F2" w:rsidTr="009C29AF">
        <w:trPr>
          <w:trHeight w:val="1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Ian Barnes</w:t>
            </w:r>
            <w:r w:rsidR="009C29AF">
              <w:rPr>
                <w:lang w:val="en"/>
              </w:rPr>
              <w:t>, Education Partner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F33257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web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Mary Thomas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266818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487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D31E74" w:rsidRPr="000602F2" w:rsidTr="009C29AF">
        <w:trPr>
          <w:trHeight w:val="1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Betsy Eller, Financial Partner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F33257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X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Cliff Turrell</w:t>
            </w:r>
            <w:r w:rsidR="008148B7" w:rsidRPr="00F33257">
              <w:rPr>
                <w:lang w:val="en"/>
              </w:rPr>
              <w:t>, Presiding Partner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266818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---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266818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withdrew</w:t>
            </w:r>
          </w:p>
        </w:tc>
      </w:tr>
      <w:tr w:rsidR="00D31E74" w:rsidRPr="000602F2" w:rsidTr="009C29AF">
        <w:trPr>
          <w:trHeight w:val="170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814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Craig Jacobsen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6D47B7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web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 xml:space="preserve">Larry Averbeck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6D47B7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web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D31E74" w:rsidRPr="000602F2" w:rsidTr="009C29AF">
        <w:trPr>
          <w:trHeight w:val="1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Marty Eckerle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162F92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web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Mike Griffin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F33257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</w:tr>
      <w:tr w:rsidR="00D31E74" w:rsidRPr="000602F2" w:rsidTr="009C29AF">
        <w:trPr>
          <w:trHeight w:val="1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 xml:space="preserve">Gerry Geverdt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F33257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X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 xml:space="preserve">Frank Bicknell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266818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---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266818" w:rsidP="00266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Michele</w:t>
            </w:r>
          </w:p>
        </w:tc>
      </w:tr>
      <w:tr w:rsidR="00D31E74" w:rsidRPr="000602F2" w:rsidTr="009C29AF">
        <w:trPr>
          <w:trHeight w:val="1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Dene Alden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F33257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X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 xml:space="preserve">Michele Grinoch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F33257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</w:tr>
      <w:tr w:rsidR="00D31E74" w:rsidRPr="000602F2" w:rsidTr="009C29AF">
        <w:trPr>
          <w:trHeight w:val="305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Latisha Douglas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266818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X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6D4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Kate Lester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487E71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D31E74" w:rsidRPr="000602F2" w:rsidTr="009C29AF">
        <w:trPr>
          <w:trHeight w:val="305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Richard Alden</w:t>
            </w:r>
            <w:r w:rsidR="009C29AF">
              <w:rPr>
                <w:lang w:val="en"/>
              </w:rPr>
              <w:t>, Recording Partner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F33257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X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Rochelle Bankhead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487E71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---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266818" w:rsidP="00F33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withdrew</w:t>
            </w:r>
          </w:p>
        </w:tc>
      </w:tr>
      <w:tr w:rsidR="00D31E74" w:rsidRPr="000602F2" w:rsidTr="009C29AF">
        <w:trPr>
          <w:trHeight w:val="305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F33257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Gregg Hopkins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266818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web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</w:tr>
    </w:tbl>
    <w:p w:rsidR="00440BE4" w:rsidRDefault="00C166AF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  <w:r>
        <w:rPr>
          <w:lang w:val="en"/>
        </w:rPr>
        <w:t>Note:</w:t>
      </w:r>
      <w:r w:rsidR="00343C25">
        <w:rPr>
          <w:lang w:val="en"/>
        </w:rPr>
        <w:t xml:space="preserve"> Parentheses</w:t>
      </w:r>
      <w:r>
        <w:rPr>
          <w:lang w:val="en"/>
        </w:rPr>
        <w:t xml:space="preserve"> denote provisional presence or proxies should members not be present for the full meeting</w:t>
      </w:r>
    </w:p>
    <w:p w:rsidR="00146B28" w:rsidRDefault="00146B28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</w:p>
    <w:p w:rsidR="00440BE4" w:rsidRPr="000602F2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  <w:r w:rsidRPr="000602F2">
        <w:rPr>
          <w:b/>
          <w:bCs/>
          <w:u w:val="single"/>
          <w:lang w:val="en"/>
        </w:rPr>
        <w:t>Recording Partner’s Report</w:t>
      </w:r>
      <w:r w:rsidRPr="000602F2">
        <w:rPr>
          <w:b/>
          <w:bCs/>
          <w:lang w:val="en"/>
        </w:rPr>
        <w:t>:</w:t>
      </w:r>
      <w:r w:rsidRPr="000602F2">
        <w:rPr>
          <w:bCs/>
          <w:lang w:val="en"/>
        </w:rPr>
        <w:t xml:space="preserve"> </w:t>
      </w:r>
      <w:r w:rsidR="005C6CB3">
        <w:rPr>
          <w:lang w:val="en"/>
        </w:rPr>
        <w:t>Minutes of the</w:t>
      </w:r>
      <w:r w:rsidRPr="000602F2">
        <w:rPr>
          <w:lang w:val="en"/>
        </w:rPr>
        <w:t xml:space="preserve"> </w:t>
      </w:r>
      <w:r w:rsidR="00146B28">
        <w:rPr>
          <w:lang w:val="en"/>
        </w:rPr>
        <w:t>February</w:t>
      </w:r>
      <w:r w:rsidRPr="000602F2">
        <w:rPr>
          <w:lang w:val="en"/>
        </w:rPr>
        <w:t xml:space="preserve"> meeting were approved</w:t>
      </w:r>
      <w:r w:rsidR="00D66C54">
        <w:rPr>
          <w:lang w:val="en"/>
        </w:rPr>
        <w:t xml:space="preserve"> and posted</w:t>
      </w:r>
      <w:r w:rsidR="00EC0822" w:rsidRPr="000602F2">
        <w:rPr>
          <w:lang w:val="en"/>
        </w:rPr>
        <w:t>.</w:t>
      </w:r>
    </w:p>
    <w:p w:rsidR="0036182A" w:rsidRPr="000602F2" w:rsidRDefault="0036182A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</w:p>
    <w:p w:rsidR="00102C0E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  <w:r w:rsidRPr="000602F2">
        <w:rPr>
          <w:b/>
          <w:bCs/>
          <w:u w:val="single"/>
          <w:lang w:val="en"/>
        </w:rPr>
        <w:t>Financial Partner’s Report</w:t>
      </w:r>
      <w:r w:rsidRPr="000602F2">
        <w:rPr>
          <w:b/>
          <w:bCs/>
          <w:lang w:val="en"/>
        </w:rPr>
        <w:t>:</w:t>
      </w:r>
      <w:r w:rsidR="00102C0E">
        <w:rPr>
          <w:lang w:val="en"/>
        </w:rPr>
        <w:t xml:space="preserve"> </w:t>
      </w:r>
    </w:p>
    <w:p w:rsidR="0000616C" w:rsidRPr="00340A2F" w:rsidRDefault="0085590E" w:rsidP="00340A2F">
      <w:pPr>
        <w:pStyle w:val="PlainText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val="en"/>
        </w:rPr>
      </w:pPr>
      <w:r>
        <w:t>C</w:t>
      </w:r>
      <w:r w:rsidR="00957404">
        <w:t>ash balance of</w:t>
      </w:r>
      <w:r w:rsidR="00340A2F">
        <w:t xml:space="preserve"> </w:t>
      </w:r>
      <w:r w:rsidR="00146B28">
        <w:t>$</w:t>
      </w:r>
      <w:r w:rsidR="00266818">
        <w:t xml:space="preserve">2,724.55 </w:t>
      </w:r>
      <w:r w:rsidR="006804AE">
        <w:t xml:space="preserve">net of </w:t>
      </w:r>
      <w:r w:rsidR="00266818">
        <w:t>Cliff’s estimated payout. Rochelle’s payout had not been calculated. T</w:t>
      </w:r>
      <w:r w:rsidR="006804AE">
        <w:t>he</w:t>
      </w:r>
      <w:r w:rsidR="006D47B7">
        <w:t xml:space="preserve"> </w:t>
      </w:r>
      <w:r w:rsidR="00162F92">
        <w:t xml:space="preserve">$1,725 </w:t>
      </w:r>
      <w:r w:rsidR="006D47B7">
        <w:t>limit order for 25sh of TSC</w:t>
      </w:r>
      <w:r w:rsidR="008E42EB">
        <w:t>O</w:t>
      </w:r>
      <w:r w:rsidR="006804AE">
        <w:t xml:space="preserve"> @$69.00/sh</w:t>
      </w:r>
      <w:r w:rsidR="00266818">
        <w:t xml:space="preserve"> was exercised. </w:t>
      </w:r>
    </w:p>
    <w:p w:rsidR="00266818" w:rsidRDefault="00266818" w:rsidP="00162F92">
      <w:pPr>
        <w:pStyle w:val="PlainText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val="en"/>
        </w:rPr>
      </w:pPr>
      <w:r>
        <w:rPr>
          <w:lang w:val="en"/>
        </w:rPr>
        <w:t>Form 1065 federal taxes were filed before March 15, as required. K-1 are available on the bivio web site.</w:t>
      </w:r>
    </w:p>
    <w:p w:rsidR="00266818" w:rsidRPr="00266818" w:rsidRDefault="00801258" w:rsidP="00162F92">
      <w:pPr>
        <w:pStyle w:val="PlainText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val="en"/>
        </w:rPr>
      </w:pPr>
      <w:r>
        <w:rPr>
          <w:lang w:val="en"/>
        </w:rPr>
        <w:t>Betsy submitted a request for $13.68 for postage. Latisha/Mike moved to rei</w:t>
      </w:r>
      <w:r w:rsidR="00AC793D">
        <w:rPr>
          <w:lang w:val="en"/>
        </w:rPr>
        <w:t>mburse her, motion passed</w:t>
      </w:r>
      <w:r>
        <w:rPr>
          <w:lang w:val="en"/>
        </w:rPr>
        <w:t>.</w:t>
      </w:r>
    </w:p>
    <w:p w:rsidR="0085590E" w:rsidRPr="00487E71" w:rsidRDefault="00162F92" w:rsidP="00162F92">
      <w:pPr>
        <w:pStyle w:val="PlainText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val="en"/>
        </w:rPr>
      </w:pPr>
      <w:r>
        <w:t>T</w:t>
      </w:r>
      <w:r w:rsidR="006D47B7">
        <w:t xml:space="preserve">he </w:t>
      </w:r>
      <w:r w:rsidR="0085590E">
        <w:t xml:space="preserve">Financial Partner’s Report </w:t>
      </w:r>
      <w:r>
        <w:t xml:space="preserve">will be filed </w:t>
      </w:r>
      <w:r w:rsidR="0085590E">
        <w:t>for audit.</w:t>
      </w:r>
    </w:p>
    <w:p w:rsidR="00146B28" w:rsidRPr="00487E71" w:rsidRDefault="00146B28" w:rsidP="00487E71">
      <w:pPr>
        <w:pStyle w:val="PlainText"/>
        <w:widowControl w:val="0"/>
        <w:autoSpaceDE w:val="0"/>
        <w:autoSpaceDN w:val="0"/>
        <w:adjustRightInd w:val="0"/>
        <w:rPr>
          <w:lang w:val="en"/>
        </w:rPr>
      </w:pPr>
    </w:p>
    <w:p w:rsidR="007B2BE5" w:rsidRPr="006D47B7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 w:rsidRPr="000602F2">
        <w:rPr>
          <w:b/>
          <w:bCs/>
          <w:u w:val="single"/>
          <w:lang w:val="en"/>
        </w:rPr>
        <w:t>Announcements</w:t>
      </w:r>
      <w:r w:rsidRPr="000602F2">
        <w:rPr>
          <w:b/>
          <w:bCs/>
          <w:lang w:val="en"/>
        </w:rPr>
        <w:t>:</w:t>
      </w:r>
    </w:p>
    <w:p w:rsidR="00146B28" w:rsidRPr="00801258" w:rsidRDefault="00801258" w:rsidP="00E051C9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  <w:r w:rsidRPr="00801258">
        <w:rPr>
          <w:bCs/>
          <w:lang w:val="en"/>
        </w:rPr>
        <w:t xml:space="preserve">A preliminary list of BINC 2017 </w:t>
      </w:r>
      <w:r w:rsidR="0088178E">
        <w:rPr>
          <w:bCs/>
          <w:lang w:val="en"/>
        </w:rPr>
        <w:t xml:space="preserve">classes </w:t>
      </w:r>
      <w:r w:rsidRPr="00801258">
        <w:rPr>
          <w:bCs/>
          <w:lang w:val="en"/>
        </w:rPr>
        <w:t>was available at the meeting</w:t>
      </w:r>
      <w:r w:rsidR="0088178E">
        <w:rPr>
          <w:bCs/>
          <w:lang w:val="en"/>
        </w:rPr>
        <w:t>. Latisha noted that the final list will be available in early April.</w:t>
      </w:r>
      <w:r w:rsidRPr="00801258">
        <w:rPr>
          <w:bCs/>
          <w:lang w:val="en"/>
        </w:rPr>
        <w:t xml:space="preserve"> BINC will be held in Cincinnati May 18-21.</w:t>
      </w:r>
    </w:p>
    <w:p w:rsidR="00146B28" w:rsidRDefault="00146B28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</w:p>
    <w:p w:rsidR="00142072" w:rsidRDefault="00440BE4" w:rsidP="001866F5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  <w:r w:rsidRPr="001866F5">
        <w:rPr>
          <w:b/>
          <w:bCs/>
          <w:u w:val="single"/>
          <w:lang w:val="en"/>
        </w:rPr>
        <w:t>Old Business:</w:t>
      </w:r>
      <w:r w:rsidR="0014761F">
        <w:rPr>
          <w:lang w:val="en"/>
        </w:rPr>
        <w:t xml:space="preserve"> </w:t>
      </w:r>
    </w:p>
    <w:p w:rsidR="00142072" w:rsidRDefault="002C0F69" w:rsidP="00801258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 w:rsidRPr="002C0F69">
        <w:rPr>
          <w:bCs/>
          <w:lang w:val="en"/>
        </w:rPr>
        <w:t>Manifest has subscriptions for 17 members</w:t>
      </w:r>
    </w:p>
    <w:p w:rsidR="002C0F69" w:rsidRPr="002C0F69" w:rsidRDefault="002C0F69" w:rsidP="00801258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t>CinMIC will celebrate its 15</w:t>
      </w:r>
      <w:r w:rsidRPr="002C0F69">
        <w:rPr>
          <w:bCs/>
          <w:vertAlign w:val="superscript"/>
          <w:lang w:val="en"/>
        </w:rPr>
        <w:t>th</w:t>
      </w:r>
      <w:r>
        <w:rPr>
          <w:bCs/>
          <w:lang w:val="en"/>
        </w:rPr>
        <w:t xml:space="preserve"> anniversary in October. Dene proposed that we have a celebratory meeting in place of our Christmas event to avoid holiday events. Latisha and Jackie will be co-chairs with Michele as a third committee member.</w:t>
      </w:r>
    </w:p>
    <w:p w:rsidR="00146B28" w:rsidRDefault="00146B28" w:rsidP="001866F5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</w:p>
    <w:p w:rsidR="00440BE4" w:rsidRDefault="00440BE4" w:rsidP="001866F5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  <w:r w:rsidRPr="000602F2">
        <w:rPr>
          <w:b/>
          <w:bCs/>
          <w:u w:val="single"/>
          <w:lang w:val="en"/>
        </w:rPr>
        <w:t>New Business:</w:t>
      </w:r>
      <w:r w:rsidRPr="000602F2">
        <w:rPr>
          <w:lang w:val="en"/>
        </w:rPr>
        <w:t xml:space="preserve">  </w:t>
      </w:r>
    </w:p>
    <w:p w:rsidR="002C0F69" w:rsidRPr="002C0F69" w:rsidRDefault="002C0F69" w:rsidP="002C0F69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lang w:val="en"/>
        </w:rPr>
      </w:pPr>
      <w:r w:rsidRPr="002C0F69">
        <w:rPr>
          <w:lang w:val="en"/>
        </w:rPr>
        <w:t xml:space="preserve">Both </w:t>
      </w:r>
      <w:r w:rsidR="006308F8">
        <w:rPr>
          <w:lang w:val="en"/>
        </w:rPr>
        <w:t>C</w:t>
      </w:r>
      <w:bookmarkStart w:id="0" w:name="_GoBack"/>
      <w:bookmarkEnd w:id="0"/>
      <w:r w:rsidRPr="002C0F69">
        <w:rPr>
          <w:lang w:val="en"/>
        </w:rPr>
        <w:t>liff Tu</w:t>
      </w:r>
      <w:r w:rsidR="006308F8">
        <w:rPr>
          <w:lang w:val="en"/>
        </w:rPr>
        <w:t>r</w:t>
      </w:r>
      <w:r w:rsidR="0088178E">
        <w:rPr>
          <w:lang w:val="en"/>
        </w:rPr>
        <w:t>r</w:t>
      </w:r>
      <w:r w:rsidRPr="002C0F69">
        <w:rPr>
          <w:lang w:val="en"/>
        </w:rPr>
        <w:t>ell and Rochelle Bankhead submitted written letters of resignation from CinMIC. Their share valu</w:t>
      </w:r>
      <w:r>
        <w:rPr>
          <w:lang w:val="en"/>
        </w:rPr>
        <w:t>ation and payout will be determined and paid</w:t>
      </w:r>
      <w:r w:rsidRPr="002C0F69">
        <w:rPr>
          <w:lang w:val="en"/>
        </w:rPr>
        <w:t xml:space="preserve"> in accordance</w:t>
      </w:r>
      <w:r>
        <w:rPr>
          <w:lang w:val="en"/>
        </w:rPr>
        <w:t xml:space="preserve"> with the Partnership Agreement. Valuation will be as of the close of business on Apr </w:t>
      </w:r>
      <w:r w:rsidR="00EC792C">
        <w:rPr>
          <w:lang w:val="en"/>
        </w:rPr>
        <w:t>7</w:t>
      </w:r>
      <w:r>
        <w:rPr>
          <w:lang w:val="en"/>
        </w:rPr>
        <w:t>.</w:t>
      </w:r>
    </w:p>
    <w:p w:rsidR="002C0F69" w:rsidRDefault="002C0F69" w:rsidP="002C0F69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lang w:val="en"/>
        </w:rPr>
      </w:pPr>
      <w:r w:rsidRPr="002C0F69">
        <w:rPr>
          <w:lang w:val="en"/>
        </w:rPr>
        <w:t>Dene Alden volunteered to assume the role of Presiding Partner.</w:t>
      </w:r>
      <w:r>
        <w:rPr>
          <w:lang w:val="en"/>
        </w:rPr>
        <w:t xml:space="preserve"> A unanimous vote</w:t>
      </w:r>
      <w:r w:rsidRPr="002C0F69">
        <w:rPr>
          <w:lang w:val="en"/>
        </w:rPr>
        <w:t xml:space="preserve"> confirmed her for the role.</w:t>
      </w:r>
    </w:p>
    <w:p w:rsidR="004412F0" w:rsidRDefault="004412F0" w:rsidP="002C0F69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lang w:val="en"/>
        </w:rPr>
      </w:pPr>
      <w:r>
        <w:rPr>
          <w:lang w:val="en"/>
        </w:rPr>
        <w:t>Rochelle/Michele moved that the May meeting be held on May 6, the normal mid-month meeting date, since BINC conflicts with the regular meeting date. Unanimously approved. There will be no May mid-month meeting.</w:t>
      </w:r>
    </w:p>
    <w:p w:rsidR="00146B28" w:rsidRPr="004412F0" w:rsidRDefault="004412F0" w:rsidP="00E051C9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 w:rsidRPr="004412F0">
        <w:rPr>
          <w:lang w:val="en"/>
        </w:rPr>
        <w:t>Dene proposed we have no April min-month meeting due to everyone’s busy spring schedule. Unanimously approved.</w:t>
      </w:r>
    </w:p>
    <w:p w:rsidR="00146B28" w:rsidRPr="00653B91" w:rsidRDefault="00146B28" w:rsidP="00653B91">
      <w:pPr>
        <w:widowControl w:val="0"/>
        <w:autoSpaceDE w:val="0"/>
        <w:autoSpaceDN w:val="0"/>
        <w:adjustRightInd w:val="0"/>
        <w:spacing w:after="0" w:line="240" w:lineRule="auto"/>
        <w:rPr>
          <w:bCs/>
          <w:lang w:val="en"/>
        </w:rPr>
      </w:pPr>
    </w:p>
    <w:p w:rsidR="00146B28" w:rsidRDefault="00146B28" w:rsidP="00146B28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</w:p>
    <w:p w:rsidR="00146B28" w:rsidRDefault="00146B28" w:rsidP="00146B28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</w:p>
    <w:p w:rsidR="00DF2EFB" w:rsidRDefault="000602F2" w:rsidP="00146B28">
      <w:pPr>
        <w:widowControl w:val="0"/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 w:rsidRPr="000602F2">
        <w:rPr>
          <w:b/>
          <w:bCs/>
          <w:u w:val="single"/>
          <w:lang w:val="en"/>
        </w:rPr>
        <w:lastRenderedPageBreak/>
        <w:t>New Stock Presentation</w:t>
      </w:r>
      <w:r w:rsidRPr="000602F2">
        <w:rPr>
          <w:b/>
          <w:bCs/>
          <w:lang w:val="en"/>
        </w:rPr>
        <w:t>:</w:t>
      </w:r>
      <w:r w:rsidR="008E77AA">
        <w:rPr>
          <w:bCs/>
          <w:lang w:val="en"/>
        </w:rPr>
        <w:t xml:space="preserve"> </w:t>
      </w:r>
      <w:r w:rsidR="00146B28">
        <w:rPr>
          <w:bCs/>
          <w:lang w:val="en"/>
        </w:rPr>
        <w:t>Nelson Page presented Hanes</w:t>
      </w:r>
      <w:r w:rsidR="004412F0">
        <w:rPr>
          <w:bCs/>
          <w:lang w:val="en"/>
        </w:rPr>
        <w:t>brands</w:t>
      </w:r>
      <w:r w:rsidR="00146B28">
        <w:rPr>
          <w:bCs/>
          <w:lang w:val="en"/>
        </w:rPr>
        <w:t xml:space="preserve"> (HBI) for his membership</w:t>
      </w:r>
    </w:p>
    <w:p w:rsidR="004412F0" w:rsidRDefault="004412F0" w:rsidP="004412F0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t>Hanes has its origins in two early 20</w:t>
      </w:r>
      <w:r w:rsidRPr="004412F0">
        <w:rPr>
          <w:bCs/>
          <w:vertAlign w:val="superscript"/>
          <w:lang w:val="en"/>
        </w:rPr>
        <w:t>th</w:t>
      </w:r>
      <w:r>
        <w:rPr>
          <w:bCs/>
          <w:lang w:val="en"/>
        </w:rPr>
        <w:t xml:space="preserve"> century companies that produced knitted goods and hosiery. Following a merger in the 1960s and a hostile takeover/divestiture by Sarah Lee, Hanesbrands emerged as a major supplier of innerwear and activewear.</w:t>
      </w:r>
    </w:p>
    <w:p w:rsidR="004412F0" w:rsidRDefault="004412F0" w:rsidP="004412F0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t>Business segments include: Innerwear (46%), activewear (27%</w:t>
      </w:r>
      <w:r w:rsidR="00837358">
        <w:rPr>
          <w:bCs/>
          <w:lang w:val="en"/>
        </w:rPr>
        <w:t>)</w:t>
      </w:r>
      <w:r>
        <w:rPr>
          <w:bCs/>
          <w:lang w:val="en"/>
        </w:rPr>
        <w:t xml:space="preserve">, direct-to-consumer (7%) and international (20%). </w:t>
      </w:r>
      <w:r w:rsidR="001B330B">
        <w:rPr>
          <w:bCs/>
          <w:lang w:val="en"/>
        </w:rPr>
        <w:t>International and direct sales are major growth areas.</w:t>
      </w:r>
    </w:p>
    <w:p w:rsidR="001B330B" w:rsidRDefault="001B330B" w:rsidP="004412F0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t>HBI both manufactures and contracts for its products. Raw material is largely higher grade US-grown subsidized cotton which is shipped to offshore manufacturing facilities.</w:t>
      </w:r>
    </w:p>
    <w:p w:rsidR="001B330B" w:rsidRDefault="001B330B" w:rsidP="004412F0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t xml:space="preserve">Weaknesses: Walmart and Target account for 52% of sales; no long-term contracts; </w:t>
      </w:r>
      <w:r w:rsidR="00333048">
        <w:rPr>
          <w:bCs/>
          <w:lang w:val="en"/>
        </w:rPr>
        <w:t>high debt  (US$ and Au$)</w:t>
      </w:r>
    </w:p>
    <w:p w:rsidR="001B330B" w:rsidRDefault="001B330B" w:rsidP="004412F0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t>Threats: Decline in the US$, cotton commodity cost</w:t>
      </w:r>
      <w:r w:rsidR="00333048">
        <w:rPr>
          <w:bCs/>
          <w:lang w:val="en"/>
        </w:rPr>
        <w:t xml:space="preserve"> (increased use of synthetic materials); potential negative publicity concerning their manufacturing operations and labor in foreign countries.</w:t>
      </w:r>
    </w:p>
    <w:p w:rsidR="00333048" w:rsidRDefault="00333048" w:rsidP="00333048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t>Nelson used a conservative 3.7% sales growth estimate but noted that:</w:t>
      </w:r>
    </w:p>
    <w:p w:rsidR="00333048" w:rsidRDefault="00333048" w:rsidP="00333048">
      <w:pPr>
        <w:pStyle w:val="ListParagraph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t>HBI started paying a dividend in 2013 and has increased it since then. The dividend may not be sustainable in view of increasing debt.</w:t>
      </w:r>
    </w:p>
    <w:p w:rsidR="00333048" w:rsidRDefault="00333048" w:rsidP="00333048">
      <w:pPr>
        <w:pStyle w:val="ListParagraph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t>Debt and goodwill have risen sharply in recent years, largely due to brand acquisitions in Europe and Australia.</w:t>
      </w:r>
    </w:p>
    <w:p w:rsidR="00333048" w:rsidRDefault="00333048" w:rsidP="00333048">
      <w:pPr>
        <w:pStyle w:val="ListParagraph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t>HBI is in the buy zone with the stock price near the low end of its recent price range. U/D ration of 7.9</w:t>
      </w:r>
    </w:p>
    <w:p w:rsidR="00333048" w:rsidRPr="004412F0" w:rsidRDefault="00333048" w:rsidP="004412F0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t>Me</w:t>
      </w:r>
      <w:r w:rsidR="00EC792C">
        <w:rPr>
          <w:bCs/>
          <w:lang w:val="en"/>
        </w:rPr>
        <w:t>mbers voted unanimously</w:t>
      </w:r>
      <w:r>
        <w:rPr>
          <w:bCs/>
          <w:lang w:val="en"/>
        </w:rPr>
        <w:t xml:space="preserve"> to accept Nelson as its newest member.</w:t>
      </w:r>
    </w:p>
    <w:p w:rsidR="00333048" w:rsidRDefault="00333048" w:rsidP="004412F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</w:p>
    <w:p w:rsidR="004412F0" w:rsidRDefault="004412F0" w:rsidP="004412F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 w:rsidRPr="000602F2">
        <w:rPr>
          <w:b/>
          <w:bCs/>
          <w:u w:val="single"/>
          <w:lang w:val="en"/>
        </w:rPr>
        <w:t>Education:</w:t>
      </w:r>
      <w:r w:rsidRPr="000602F2">
        <w:rPr>
          <w:bCs/>
          <w:lang w:val="en"/>
        </w:rPr>
        <w:t xml:space="preserve"> </w:t>
      </w:r>
      <w:r w:rsidR="00333048">
        <w:rPr>
          <w:bCs/>
          <w:lang w:val="en"/>
        </w:rPr>
        <w:t>Due to internet connectivity and C</w:t>
      </w:r>
      <w:r w:rsidR="00BE74E2">
        <w:rPr>
          <w:bCs/>
          <w:lang w:val="en"/>
        </w:rPr>
        <w:t>i</w:t>
      </w:r>
      <w:r w:rsidR="00333048">
        <w:rPr>
          <w:bCs/>
          <w:lang w:val="en"/>
        </w:rPr>
        <w:t>trix issues, the education segment was not presented. The Sto</w:t>
      </w:r>
      <w:r w:rsidR="00EC792C">
        <w:rPr>
          <w:bCs/>
          <w:lang w:val="en"/>
        </w:rPr>
        <w:t>c</w:t>
      </w:r>
      <w:r w:rsidR="00333048">
        <w:rPr>
          <w:bCs/>
          <w:lang w:val="en"/>
        </w:rPr>
        <w:t>k Up seminar will resume at the next meeting.</w:t>
      </w:r>
    </w:p>
    <w:p w:rsidR="00333048" w:rsidRDefault="00333048" w:rsidP="004412F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</w:p>
    <w:p w:rsidR="002B69FE" w:rsidRDefault="00440BE4" w:rsidP="00A53EB2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  <w:r w:rsidRPr="00E63305">
        <w:rPr>
          <w:b/>
          <w:bCs/>
          <w:u w:val="single"/>
          <w:lang w:val="en"/>
        </w:rPr>
        <w:t>Portfolio Review:</w:t>
      </w:r>
      <w:r w:rsidRPr="00E63305">
        <w:rPr>
          <w:lang w:val="en"/>
        </w:rPr>
        <w:t xml:space="preserve"> </w:t>
      </w:r>
    </w:p>
    <w:p w:rsidR="00EC792C" w:rsidRPr="00E63305" w:rsidRDefault="00EC792C" w:rsidP="00A53EB2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  <w:r w:rsidRPr="004F1404">
        <w:rPr>
          <w:bCs/>
          <w:lang w:val="en"/>
        </w:rPr>
        <w:t>Marty presen</w:t>
      </w:r>
      <w:r>
        <w:rPr>
          <w:bCs/>
          <w:lang w:val="en"/>
        </w:rPr>
        <w:t>ted “CinMIC P</w:t>
      </w:r>
      <w:r w:rsidRPr="00EC792C">
        <w:rPr>
          <w:bCs/>
          <w:lang w:val="en"/>
        </w:rPr>
        <w:t xml:space="preserve">ortfolio </w:t>
      </w:r>
      <w:r>
        <w:rPr>
          <w:bCs/>
          <w:lang w:val="en"/>
        </w:rPr>
        <w:t>Analysis –</w:t>
      </w:r>
      <w:r w:rsidR="00B63B90">
        <w:rPr>
          <w:bCs/>
          <w:lang w:val="en"/>
        </w:rPr>
        <w:t xml:space="preserve"> Close</w:t>
      </w:r>
      <w:r>
        <w:rPr>
          <w:bCs/>
          <w:lang w:val="en"/>
        </w:rPr>
        <w:t xml:space="preserve"> of the </w:t>
      </w:r>
      <w:r w:rsidR="00B63B90">
        <w:rPr>
          <w:bCs/>
          <w:lang w:val="en"/>
        </w:rPr>
        <w:t>B</w:t>
      </w:r>
      <w:r>
        <w:rPr>
          <w:bCs/>
          <w:lang w:val="en"/>
        </w:rPr>
        <w:t xml:space="preserve">ell report 170324”, a comparison of the current CinMIC portfolio to the Manifest Investing ratings for each stock combined with the </w:t>
      </w:r>
      <w:r w:rsidR="004D7ABE">
        <w:rPr>
          <w:bCs/>
          <w:lang w:val="en"/>
        </w:rPr>
        <w:t xml:space="preserve">watcher </w:t>
      </w:r>
      <w:r>
        <w:rPr>
          <w:bCs/>
          <w:lang w:val="en"/>
        </w:rPr>
        <w:t>recommendations</w:t>
      </w:r>
      <w:r w:rsidR="00E051C9">
        <w:rPr>
          <w:bCs/>
          <w:lang w:val="en"/>
        </w:rPr>
        <w:t xml:space="preserve"> and George Nicholson’s Triple Play criteria</w:t>
      </w:r>
      <w:r>
        <w:rPr>
          <w:bCs/>
          <w:lang w:val="en"/>
        </w:rPr>
        <w:t xml:space="preserve">. </w:t>
      </w:r>
      <w:r w:rsidR="00E051C9">
        <w:rPr>
          <w:bCs/>
          <w:lang w:val="en"/>
        </w:rPr>
        <w:t>A copy of the edited report appears below.</w:t>
      </w:r>
    </w:p>
    <w:p w:rsidR="00D106F5" w:rsidRDefault="00D106F5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</w:p>
    <w:tbl>
      <w:tblPr>
        <w:tblW w:w="108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885"/>
        <w:gridCol w:w="905"/>
        <w:gridCol w:w="1795"/>
        <w:gridCol w:w="1800"/>
        <w:gridCol w:w="810"/>
        <w:gridCol w:w="905"/>
        <w:gridCol w:w="810"/>
        <w:gridCol w:w="11"/>
        <w:gridCol w:w="1429"/>
      </w:tblGrid>
      <w:tr w:rsidR="0074455D" w:rsidRPr="00D43480" w:rsidTr="00E051C9">
        <w:trPr>
          <w:trHeight w:val="582"/>
          <w:jc w:val="center"/>
        </w:trPr>
        <w:tc>
          <w:tcPr>
            <w:tcW w:w="1535" w:type="dxa"/>
            <w:shd w:val="clear" w:color="auto" w:fill="auto"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43480">
              <w:rPr>
                <w:rFonts w:eastAsia="Times New Roman"/>
                <w:b/>
                <w:bCs/>
                <w:sz w:val="18"/>
                <w:szCs w:val="18"/>
              </w:rPr>
              <w:t>Stock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43480">
              <w:rPr>
                <w:rFonts w:eastAsia="Times New Roman"/>
                <w:b/>
                <w:bCs/>
                <w:sz w:val="18"/>
                <w:szCs w:val="18"/>
              </w:rPr>
              <w:t>Symbol</w:t>
            </w:r>
          </w:p>
        </w:tc>
        <w:tc>
          <w:tcPr>
            <w:tcW w:w="905" w:type="dxa"/>
            <w:shd w:val="clear" w:color="auto" w:fill="auto"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43480">
              <w:rPr>
                <w:rFonts w:eastAsia="Times New Roman"/>
                <w:b/>
                <w:bCs/>
                <w:sz w:val="18"/>
                <w:szCs w:val="18"/>
              </w:rPr>
              <w:t>Watcher</w:t>
            </w:r>
          </w:p>
        </w:tc>
        <w:tc>
          <w:tcPr>
            <w:tcW w:w="1795" w:type="dxa"/>
            <w:shd w:val="clear" w:color="auto" w:fill="auto"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43480">
              <w:rPr>
                <w:rFonts w:eastAsia="Times New Roman"/>
                <w:b/>
                <w:bCs/>
                <w:sz w:val="18"/>
                <w:szCs w:val="18"/>
              </w:rPr>
              <w:t>Watcher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:</w:t>
            </w:r>
            <w:r w:rsidRPr="00D43480">
              <w:rPr>
                <w:rFonts w:eastAsia="Times New Roman"/>
                <w:b/>
                <w:bCs/>
                <w:sz w:val="18"/>
                <w:szCs w:val="18"/>
              </w:rPr>
              <w:t xml:space="preserve"> B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uy/Hold/Sell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43480">
              <w:rPr>
                <w:rFonts w:eastAsia="Times New Roman"/>
                <w:b/>
                <w:bCs/>
                <w:sz w:val="18"/>
                <w:szCs w:val="18"/>
              </w:rPr>
              <w:t>SSG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:</w:t>
            </w:r>
            <w:r w:rsidRPr="00D43480">
              <w:rPr>
                <w:rFonts w:eastAsia="Times New Roman"/>
                <w:b/>
                <w:bCs/>
                <w:sz w:val="18"/>
                <w:szCs w:val="18"/>
              </w:rPr>
              <w:t xml:space="preserve"> B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uy/Hold/Sell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43480">
              <w:rPr>
                <w:rFonts w:eastAsia="Times New Roman"/>
                <w:b/>
                <w:bCs/>
                <w:sz w:val="18"/>
                <w:szCs w:val="18"/>
              </w:rPr>
              <w:t>#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of Shares</w:t>
            </w:r>
          </w:p>
        </w:tc>
        <w:tc>
          <w:tcPr>
            <w:tcW w:w="905" w:type="dxa"/>
            <w:vAlign w:val="bottom"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% of Portfolio</w:t>
            </w:r>
          </w:p>
        </w:tc>
        <w:tc>
          <w:tcPr>
            <w:tcW w:w="821" w:type="dxa"/>
            <w:gridSpan w:val="2"/>
            <w:shd w:val="clear" w:color="auto" w:fill="auto"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43480">
              <w:rPr>
                <w:rFonts w:eastAsia="Times New Roman"/>
                <w:b/>
                <w:bCs/>
                <w:sz w:val="18"/>
                <w:szCs w:val="18"/>
              </w:rPr>
              <w:t>Y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ear </w:t>
            </w:r>
            <w:r w:rsidRPr="00D43480">
              <w:rPr>
                <w:rFonts w:eastAsia="Times New Roman"/>
                <w:b/>
                <w:bCs/>
                <w:sz w:val="18"/>
                <w:szCs w:val="18"/>
              </w:rPr>
              <w:t>E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nd</w:t>
            </w:r>
          </w:p>
        </w:tc>
        <w:tc>
          <w:tcPr>
            <w:tcW w:w="1429" w:type="dxa"/>
            <w:shd w:val="clear" w:color="auto" w:fill="auto"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43480">
              <w:rPr>
                <w:rFonts w:eastAsia="Times New Roman"/>
                <w:b/>
                <w:bCs/>
                <w:sz w:val="18"/>
                <w:szCs w:val="18"/>
              </w:rPr>
              <w:t>Next Earn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ing</w:t>
            </w:r>
            <w:r w:rsidRPr="00D43480">
              <w:rPr>
                <w:rFonts w:eastAsia="Times New Roman"/>
                <w:b/>
                <w:bCs/>
                <w:sz w:val="18"/>
                <w:szCs w:val="18"/>
              </w:rPr>
              <w:t>s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Report:</w:t>
            </w:r>
          </w:p>
        </w:tc>
      </w:tr>
      <w:tr w:rsidR="0074455D" w:rsidRPr="00D43480" w:rsidTr="00E051C9">
        <w:trPr>
          <w:trHeight w:val="276"/>
          <w:jc w:val="center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 xml:space="preserve">Apple 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AAPL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Jackie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Hold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Hold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95</w:t>
            </w:r>
          </w:p>
        </w:tc>
        <w:tc>
          <w:tcPr>
            <w:tcW w:w="905" w:type="dxa"/>
            <w:vAlign w:val="bottom"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8.3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Sep.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4/30/17</w:t>
            </w:r>
          </w:p>
        </w:tc>
      </w:tr>
      <w:tr w:rsidR="0074455D" w:rsidRPr="00D43480" w:rsidTr="00E051C9">
        <w:trPr>
          <w:trHeight w:val="276"/>
          <w:jc w:val="center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C. H. Robinson 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CHRW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Larry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Hold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Hold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185</w:t>
            </w:r>
          </w:p>
        </w:tc>
        <w:tc>
          <w:tcPr>
            <w:tcW w:w="905" w:type="dxa"/>
            <w:vAlign w:val="bottom"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9.0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Dec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4/25/17</w:t>
            </w:r>
          </w:p>
        </w:tc>
      </w:tr>
      <w:tr w:rsidR="0074455D" w:rsidRPr="00D43480" w:rsidTr="00E051C9">
        <w:trPr>
          <w:trHeight w:val="276"/>
          <w:jc w:val="center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Casey's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CASY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Cliff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Sell All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Hold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70</w:t>
            </w:r>
          </w:p>
        </w:tc>
        <w:tc>
          <w:tcPr>
            <w:tcW w:w="905" w:type="dxa"/>
            <w:vAlign w:val="bottom"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4.9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Apr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3/6/17</w:t>
            </w:r>
          </w:p>
        </w:tc>
      </w:tr>
      <w:tr w:rsidR="0074455D" w:rsidRPr="00D43480" w:rsidTr="00E051C9">
        <w:trPr>
          <w:trHeight w:val="276"/>
          <w:jc w:val="center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Cerner </w:t>
            </w:r>
            <w:r w:rsidRPr="00D43480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CERN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Gregg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Hold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Hold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905" w:type="dxa"/>
            <w:vAlign w:val="bottom"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2.1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Dec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5/4/17</w:t>
            </w:r>
          </w:p>
        </w:tc>
      </w:tr>
      <w:tr w:rsidR="0074455D" w:rsidRPr="00D43480" w:rsidTr="00E051C9">
        <w:trPr>
          <w:trHeight w:val="276"/>
          <w:jc w:val="center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Cognizant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CTSH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Mike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Hold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Hold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905" w:type="dxa"/>
            <w:vAlign w:val="bottom"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7.3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Dec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5/4/17</w:t>
            </w:r>
          </w:p>
        </w:tc>
      </w:tr>
      <w:tr w:rsidR="0074455D" w:rsidRPr="00D43480" w:rsidTr="00E051C9">
        <w:trPr>
          <w:trHeight w:val="276"/>
          <w:jc w:val="center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CVS Health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CVS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Latisha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Buy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Buy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905" w:type="dxa"/>
            <w:vAlign w:val="bottom"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4.9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Dec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5/2/17</w:t>
            </w:r>
          </w:p>
        </w:tc>
      </w:tr>
      <w:tr w:rsidR="0074455D" w:rsidRPr="00D43480" w:rsidTr="00E051C9">
        <w:trPr>
          <w:trHeight w:val="276"/>
          <w:jc w:val="center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Danaher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DHR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Harrison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Hold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Hold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110</w:t>
            </w:r>
          </w:p>
        </w:tc>
        <w:tc>
          <w:tcPr>
            <w:tcW w:w="905" w:type="dxa"/>
            <w:vAlign w:val="bottom"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5.9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Dec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4/20/17</w:t>
            </w:r>
          </w:p>
        </w:tc>
      </w:tr>
      <w:tr w:rsidR="0074455D" w:rsidRPr="00D43480" w:rsidTr="00E051C9">
        <w:trPr>
          <w:trHeight w:val="276"/>
          <w:jc w:val="center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Fastenal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FAST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Rich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Hold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Hold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250</w:t>
            </w:r>
          </w:p>
        </w:tc>
        <w:tc>
          <w:tcPr>
            <w:tcW w:w="905" w:type="dxa"/>
            <w:vAlign w:val="bottom"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8.0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Dec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4/11/17</w:t>
            </w:r>
          </w:p>
        </w:tc>
      </w:tr>
      <w:tr w:rsidR="0074455D" w:rsidRPr="00D43480" w:rsidTr="00E051C9">
        <w:trPr>
          <w:trHeight w:val="276"/>
          <w:jc w:val="center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Gilead 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GILD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Kate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Hold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Buy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130</w:t>
            </w:r>
          </w:p>
        </w:tc>
        <w:tc>
          <w:tcPr>
            <w:tcW w:w="905" w:type="dxa"/>
            <w:vAlign w:val="bottom"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5.5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Dec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4/27/17</w:t>
            </w:r>
          </w:p>
        </w:tc>
      </w:tr>
      <w:tr w:rsidR="0074455D" w:rsidRPr="00D43480" w:rsidTr="00E051C9">
        <w:trPr>
          <w:trHeight w:val="276"/>
          <w:jc w:val="center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 xml:space="preserve">LKQ Corp 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LKQ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Frank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Hold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Buy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375</w:t>
            </w:r>
          </w:p>
        </w:tc>
        <w:tc>
          <w:tcPr>
            <w:tcW w:w="905" w:type="dxa"/>
            <w:vAlign w:val="bottom"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6.9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Dec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2/23/17</w:t>
            </w:r>
          </w:p>
        </w:tc>
      </w:tr>
      <w:tr w:rsidR="0074455D" w:rsidRPr="00D43480" w:rsidTr="00E051C9">
        <w:trPr>
          <w:trHeight w:val="276"/>
          <w:jc w:val="center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Michael Kors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KORS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Rochelle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Sell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Buy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905" w:type="dxa"/>
            <w:vAlign w:val="bottom"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.5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Apr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2/8/17</w:t>
            </w:r>
          </w:p>
        </w:tc>
      </w:tr>
      <w:tr w:rsidR="0074455D" w:rsidRPr="00D43480" w:rsidTr="00E051C9">
        <w:trPr>
          <w:trHeight w:val="276"/>
          <w:jc w:val="center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Novo Nordisk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NVO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Ian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Hold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Hold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905" w:type="dxa"/>
            <w:vAlign w:val="bottom"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4.2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Dec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N/A</w:t>
            </w:r>
          </w:p>
        </w:tc>
      </w:tr>
      <w:tr w:rsidR="0074455D" w:rsidRPr="00D43480" w:rsidTr="00E051C9">
        <w:trPr>
          <w:trHeight w:val="276"/>
          <w:jc w:val="center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Polaris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PII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Dene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Buy 10 below 85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Buy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65</w:t>
            </w:r>
          </w:p>
        </w:tc>
        <w:tc>
          <w:tcPr>
            <w:tcW w:w="905" w:type="dxa"/>
            <w:vAlign w:val="bottom"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3.4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Dec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4/20/17</w:t>
            </w:r>
          </w:p>
        </w:tc>
      </w:tr>
      <w:tr w:rsidR="0074455D" w:rsidRPr="00D43480" w:rsidTr="00E051C9">
        <w:trPr>
          <w:trHeight w:val="276"/>
          <w:jc w:val="center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Schlumberger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SLB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Mary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Hold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Hold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140</w:t>
            </w:r>
          </w:p>
        </w:tc>
        <w:tc>
          <w:tcPr>
            <w:tcW w:w="905" w:type="dxa"/>
            <w:vAlign w:val="bottom"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6.9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Dec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4/20/17</w:t>
            </w:r>
          </w:p>
        </w:tc>
      </w:tr>
      <w:tr w:rsidR="0074455D" w:rsidRPr="00D43480" w:rsidTr="00E051C9">
        <w:trPr>
          <w:trHeight w:val="276"/>
          <w:jc w:val="center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Signature Bk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SBNY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Craig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Hold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Hold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110</w:t>
            </w:r>
          </w:p>
        </w:tc>
        <w:tc>
          <w:tcPr>
            <w:tcW w:w="905" w:type="dxa"/>
            <w:vAlign w:val="bottom"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10.1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Dec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4/20/17</w:t>
            </w:r>
          </w:p>
        </w:tc>
      </w:tr>
      <w:tr w:rsidR="0074455D" w:rsidRPr="00D43480" w:rsidTr="00E051C9">
        <w:trPr>
          <w:trHeight w:val="276"/>
          <w:jc w:val="center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Starbucks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SBUX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Gerry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455D" w:rsidRPr="005B5A3E" w:rsidRDefault="0074455D" w:rsidP="0038237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Buy</w:t>
            </w:r>
            <w:r w:rsidR="00382376">
              <w:rPr>
                <w:rFonts w:eastAsia="Times New Roman"/>
                <w:sz w:val="18"/>
                <w:szCs w:val="18"/>
              </w:rPr>
              <w:t xml:space="preserve"> 20 sh</w:t>
            </w:r>
            <w:r>
              <w:rPr>
                <w:rFonts w:eastAsia="Times New Roman"/>
                <w:sz w:val="18"/>
                <w:szCs w:val="18"/>
              </w:rPr>
              <w:t xml:space="preserve"> @ Win.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4455D" w:rsidRPr="005B5A3E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Buy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905" w:type="dxa"/>
            <w:vAlign w:val="bottom"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1.4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Sep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4/27/17</w:t>
            </w:r>
          </w:p>
        </w:tc>
      </w:tr>
      <w:tr w:rsidR="0074455D" w:rsidRPr="00D43480" w:rsidTr="00E051C9">
        <w:trPr>
          <w:trHeight w:val="276"/>
          <w:jc w:val="center"/>
        </w:trPr>
        <w:tc>
          <w:tcPr>
            <w:tcW w:w="1535" w:type="dxa"/>
            <w:shd w:val="clear" w:color="auto" w:fill="auto"/>
            <w:noWrap/>
            <w:vAlign w:val="bottom"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Tractor S</w:t>
            </w:r>
            <w:r>
              <w:rPr>
                <w:rFonts w:eastAsia="Times New Roman"/>
                <w:sz w:val="18"/>
                <w:szCs w:val="18"/>
              </w:rPr>
              <w:t>up</w:t>
            </w:r>
            <w:r w:rsidRPr="00D43480">
              <w:rPr>
                <w:rFonts w:eastAsia="Times New Roman"/>
                <w:sz w:val="18"/>
                <w:szCs w:val="18"/>
              </w:rPr>
              <w:t>ply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TSCO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TBD</w:t>
            </w:r>
          </w:p>
        </w:tc>
        <w:tc>
          <w:tcPr>
            <w:tcW w:w="1795" w:type="dxa"/>
            <w:vAlign w:val="bottom"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Limit order triggered</w:t>
            </w:r>
          </w:p>
        </w:tc>
        <w:tc>
          <w:tcPr>
            <w:tcW w:w="1800" w:type="dxa"/>
            <w:vAlign w:val="bottom"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Limit order triggered</w:t>
            </w:r>
          </w:p>
        </w:tc>
        <w:tc>
          <w:tcPr>
            <w:tcW w:w="810" w:type="dxa"/>
            <w:vAlign w:val="bottom"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1.1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Dec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4/24/17</w:t>
            </w:r>
          </w:p>
        </w:tc>
      </w:tr>
      <w:tr w:rsidR="0074455D" w:rsidRPr="00D43480" w:rsidTr="00E051C9">
        <w:trPr>
          <w:trHeight w:val="378"/>
          <w:jc w:val="center"/>
        </w:trPr>
        <w:tc>
          <w:tcPr>
            <w:tcW w:w="10885" w:type="dxa"/>
            <w:gridSpan w:val="10"/>
            <w:shd w:val="clear" w:color="auto" w:fill="auto"/>
            <w:noWrap/>
            <w:vAlign w:val="center"/>
          </w:tcPr>
          <w:p w:rsidR="0074455D" w:rsidRPr="00D43480" w:rsidRDefault="0074455D" w:rsidP="00E051C9">
            <w:pPr>
              <w:spacing w:after="0"/>
              <w:ind w:left="21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sz w:val="24"/>
              </w:rPr>
              <w:t>Stocks on “Pounce / Watch List”</w:t>
            </w:r>
          </w:p>
        </w:tc>
      </w:tr>
      <w:tr w:rsidR="0074455D" w:rsidRPr="00D43480" w:rsidTr="00E051C9">
        <w:trPr>
          <w:trHeight w:val="351"/>
          <w:jc w:val="center"/>
        </w:trPr>
        <w:tc>
          <w:tcPr>
            <w:tcW w:w="1535" w:type="dxa"/>
            <w:shd w:val="clear" w:color="auto" w:fill="auto"/>
            <w:noWrap/>
            <w:vAlign w:val="center"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Photonics 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IPGP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Mike</w:t>
            </w:r>
          </w:p>
        </w:tc>
        <w:tc>
          <w:tcPr>
            <w:tcW w:w="3595" w:type="dxa"/>
            <w:gridSpan w:val="2"/>
            <w:vAlign w:val="center"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Buy range: 70.20 to 96.10; US/DS 1.2 to 1</w:t>
            </w:r>
          </w:p>
        </w:tc>
        <w:tc>
          <w:tcPr>
            <w:tcW w:w="810" w:type="dxa"/>
            <w:vAlign w:val="center"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$121.46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74455D" w:rsidRPr="00D43480" w:rsidTr="00E051C9">
        <w:trPr>
          <w:trHeight w:val="279"/>
          <w:jc w:val="center"/>
        </w:trPr>
        <w:tc>
          <w:tcPr>
            <w:tcW w:w="1535" w:type="dxa"/>
            <w:shd w:val="clear" w:color="auto" w:fill="auto"/>
            <w:noWrap/>
            <w:vAlign w:val="center"/>
          </w:tcPr>
          <w:p w:rsidR="0074455D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ULTA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ULTA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74455D" w:rsidRPr="00D43480" w:rsidRDefault="0074455D" w:rsidP="00E051C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Ian</w:t>
            </w:r>
          </w:p>
        </w:tc>
        <w:tc>
          <w:tcPr>
            <w:tcW w:w="3595" w:type="dxa"/>
            <w:gridSpan w:val="2"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Buy range: TBD</w:t>
            </w:r>
          </w:p>
        </w:tc>
        <w:tc>
          <w:tcPr>
            <w:tcW w:w="810" w:type="dxa"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TBD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</w:tcPr>
          <w:p w:rsidR="0074455D" w:rsidRPr="00D43480" w:rsidRDefault="0074455D" w:rsidP="00E051C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:rsidR="004F1404" w:rsidRDefault="004F1404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</w:p>
    <w:p w:rsidR="00440BE4" w:rsidRPr="00757409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bCs/>
          <w:u w:val="single"/>
          <w:lang w:val="en"/>
        </w:rPr>
      </w:pPr>
      <w:r w:rsidRPr="00757409">
        <w:rPr>
          <w:b/>
          <w:bCs/>
          <w:u w:val="single"/>
          <w:lang w:val="en"/>
        </w:rPr>
        <w:t>Future Education Schedule:</w:t>
      </w: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1664"/>
        <w:gridCol w:w="3337"/>
        <w:gridCol w:w="4680"/>
      </w:tblGrid>
      <w:tr w:rsidR="0036182A" w:rsidRPr="000602F2" w:rsidTr="00417B27">
        <w:trPr>
          <w:trHeight w:val="1"/>
        </w:trPr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182A" w:rsidRDefault="00146B28" w:rsidP="00146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April</w:t>
            </w:r>
          </w:p>
        </w:tc>
        <w:tc>
          <w:tcPr>
            <w:tcW w:w="3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182A" w:rsidRDefault="0036182A" w:rsidP="00361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182A" w:rsidRDefault="0020493D" w:rsidP="0014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Continuation</w:t>
            </w:r>
            <w:r w:rsidR="00417B27">
              <w:rPr>
                <w:lang w:val="en"/>
              </w:rPr>
              <w:t xml:space="preserve"> of ‘SSG and the Income Statement’</w:t>
            </w:r>
          </w:p>
        </w:tc>
      </w:tr>
      <w:tr w:rsidR="0020493D" w:rsidRPr="000602F2" w:rsidTr="00417B27">
        <w:trPr>
          <w:trHeight w:val="1"/>
        </w:trPr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493D" w:rsidRDefault="0020493D" w:rsidP="00204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May</w:t>
            </w:r>
          </w:p>
        </w:tc>
        <w:tc>
          <w:tcPr>
            <w:tcW w:w="3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493D" w:rsidRPr="000602F2" w:rsidRDefault="0020493D" w:rsidP="00204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493D" w:rsidRDefault="0020493D" w:rsidP="00204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Conclusion of ‘SSG and the Income Statement’</w:t>
            </w:r>
          </w:p>
        </w:tc>
      </w:tr>
      <w:tr w:rsidR="0020493D" w:rsidRPr="000602F2" w:rsidTr="00417B27">
        <w:trPr>
          <w:trHeight w:val="1"/>
        </w:trPr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493D" w:rsidRDefault="0020493D" w:rsidP="00204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June</w:t>
            </w:r>
          </w:p>
        </w:tc>
        <w:tc>
          <w:tcPr>
            <w:tcW w:w="3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493D" w:rsidRPr="000602F2" w:rsidRDefault="0020493D" w:rsidP="00204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Mike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493D" w:rsidRPr="000602F2" w:rsidRDefault="0020493D" w:rsidP="00204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Back Side of the SSG with emphasis on PEs</w:t>
            </w:r>
          </w:p>
        </w:tc>
      </w:tr>
    </w:tbl>
    <w:p w:rsidR="00972EA1" w:rsidRDefault="00972EA1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</w:p>
    <w:p w:rsidR="00440BE4" w:rsidRPr="00757409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  <w:r w:rsidRPr="00757409">
        <w:rPr>
          <w:b/>
          <w:bCs/>
          <w:u w:val="single"/>
          <w:lang w:val="en"/>
        </w:rPr>
        <w:t>Future Stock Presentation Schedule:</w:t>
      </w:r>
      <w:r w:rsidRPr="00757409">
        <w:rPr>
          <w:bCs/>
          <w:u w:val="single"/>
          <w:lang w:val="en"/>
        </w:rPr>
        <w:t xml:space="preserve">  </w:t>
      </w: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1662"/>
        <w:gridCol w:w="3990"/>
        <w:gridCol w:w="2662"/>
      </w:tblGrid>
      <w:tr w:rsidR="0036182A" w:rsidRPr="000602F2" w:rsidTr="00162F92">
        <w:trPr>
          <w:trHeight w:val="1"/>
        </w:trPr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182A" w:rsidRDefault="00146B28" w:rsidP="00361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April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182A" w:rsidRDefault="0036182A" w:rsidP="00361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Jackie Koski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182A" w:rsidRDefault="0036182A" w:rsidP="00361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tbd</w:t>
            </w:r>
          </w:p>
        </w:tc>
      </w:tr>
      <w:tr w:rsidR="0036182A" w:rsidRPr="000602F2" w:rsidTr="00162F92">
        <w:trPr>
          <w:trHeight w:val="1"/>
        </w:trPr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182A" w:rsidRDefault="00146B28" w:rsidP="00361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May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182A" w:rsidRDefault="0036182A" w:rsidP="00361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Michele Grinoch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182A" w:rsidRDefault="0036182A" w:rsidP="00361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tbd</w:t>
            </w:r>
          </w:p>
        </w:tc>
      </w:tr>
      <w:tr w:rsidR="0020493D" w:rsidRPr="000602F2" w:rsidTr="00162F92">
        <w:trPr>
          <w:trHeight w:val="1"/>
        </w:trPr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493D" w:rsidRDefault="0020493D" w:rsidP="00361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June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493D" w:rsidRDefault="00BF3BCC" w:rsidP="00361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Rich Alden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493D" w:rsidRDefault="0020493D" w:rsidP="00361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tbd</w:t>
            </w:r>
          </w:p>
        </w:tc>
      </w:tr>
    </w:tbl>
    <w:p w:rsidR="00440BE4" w:rsidRPr="000602F2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</w:p>
    <w:p w:rsidR="00442140" w:rsidRPr="00533BC2" w:rsidRDefault="00442140" w:rsidP="00442140">
      <w:pPr>
        <w:widowControl w:val="0"/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 w:rsidRPr="00757409">
        <w:rPr>
          <w:b/>
          <w:bCs/>
          <w:u w:val="single"/>
          <w:lang w:val="en"/>
        </w:rPr>
        <w:t>Buy/Sell Decisions:</w:t>
      </w:r>
      <w:r w:rsidR="00533BC2" w:rsidRPr="00533BC2">
        <w:rPr>
          <w:b/>
          <w:bCs/>
          <w:lang w:val="en"/>
        </w:rPr>
        <w:t xml:space="preserve"> </w:t>
      </w:r>
      <w:r w:rsidR="00533BC2">
        <w:rPr>
          <w:bCs/>
          <w:lang w:val="en"/>
        </w:rPr>
        <w:t>(</w:t>
      </w:r>
      <w:r w:rsidR="00417B27">
        <w:rPr>
          <w:bCs/>
          <w:lang w:val="en"/>
        </w:rPr>
        <w:t xml:space="preserve">motion/second: action, type, </w:t>
      </w:r>
      <w:r w:rsidR="00533BC2">
        <w:rPr>
          <w:bCs/>
          <w:lang w:val="en"/>
        </w:rPr>
        <w:t>yes/no/abstain)</w:t>
      </w:r>
    </w:p>
    <w:p w:rsidR="00142072" w:rsidRDefault="00BF3BCC" w:rsidP="00BF3BCC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lang w:val="en"/>
        </w:rPr>
      </w:pPr>
      <w:r>
        <w:rPr>
          <w:lang w:val="en"/>
        </w:rPr>
        <w:t>Cliff/Kate: sell all 70sh of CASY @window, 15/2/0</w:t>
      </w:r>
      <w:r w:rsidR="00E60C79">
        <w:rPr>
          <w:lang w:val="en"/>
        </w:rPr>
        <w:t>, passed</w:t>
      </w:r>
    </w:p>
    <w:p w:rsidR="00BF3BCC" w:rsidRDefault="00BF3BCC" w:rsidP="00BF3BCC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lang w:val="en"/>
        </w:rPr>
      </w:pPr>
      <w:r>
        <w:rPr>
          <w:lang w:val="en"/>
        </w:rPr>
        <w:t>Latisha/Nelson: sell all 20sh of KORS @window, 17/0/0</w:t>
      </w:r>
      <w:r w:rsidR="00E60C79">
        <w:rPr>
          <w:lang w:val="en"/>
        </w:rPr>
        <w:t>, passed</w:t>
      </w:r>
    </w:p>
    <w:p w:rsidR="00BF3BCC" w:rsidRDefault="00BF3BCC" w:rsidP="00BF3BCC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lang w:val="en"/>
        </w:rPr>
      </w:pPr>
      <w:r>
        <w:rPr>
          <w:lang w:val="en"/>
        </w:rPr>
        <w:t>Gerry/Jackie: buy 20sh of SBUX @window, 15/2/0</w:t>
      </w:r>
      <w:r w:rsidR="00E60C79">
        <w:rPr>
          <w:lang w:val="en"/>
        </w:rPr>
        <w:t>, passed</w:t>
      </w:r>
    </w:p>
    <w:p w:rsidR="00BF3BCC" w:rsidRDefault="00BF3BCC" w:rsidP="00BF3BCC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lang w:val="en"/>
        </w:rPr>
      </w:pPr>
      <w:r>
        <w:rPr>
          <w:lang w:val="en"/>
        </w:rPr>
        <w:t xml:space="preserve">Dene/Nelson: buy 20sh of </w:t>
      </w:r>
      <w:r w:rsidR="00E60C79">
        <w:rPr>
          <w:lang w:val="en"/>
        </w:rPr>
        <w:t>P</w:t>
      </w:r>
      <w:r>
        <w:rPr>
          <w:lang w:val="en"/>
        </w:rPr>
        <w:t>II @window, 8/9/0</w:t>
      </w:r>
      <w:r w:rsidR="00E60C79">
        <w:rPr>
          <w:lang w:val="en"/>
        </w:rPr>
        <w:t>, failed</w:t>
      </w:r>
    </w:p>
    <w:p w:rsidR="00BF3BCC" w:rsidRDefault="00BF3BCC" w:rsidP="00BF3BCC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lang w:val="en"/>
        </w:rPr>
      </w:pPr>
      <w:r>
        <w:rPr>
          <w:lang w:val="en"/>
        </w:rPr>
        <w:t>Latisha/Jackie: buy 10sh of CVS @window, 15/2/0</w:t>
      </w:r>
      <w:r w:rsidR="00E60C79">
        <w:rPr>
          <w:lang w:val="en"/>
        </w:rPr>
        <w:t>, passed</w:t>
      </w:r>
    </w:p>
    <w:p w:rsidR="00BF3BCC" w:rsidRDefault="00BF3BCC" w:rsidP="00BF3BCC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lang w:val="en"/>
        </w:rPr>
      </w:pPr>
      <w:r>
        <w:rPr>
          <w:lang w:val="en"/>
        </w:rPr>
        <w:t>Craig/Larry: buy 25sh of TSCO @window, 11/6/0</w:t>
      </w:r>
      <w:r w:rsidR="00E60C79">
        <w:rPr>
          <w:lang w:val="en"/>
        </w:rPr>
        <w:t>, passed</w:t>
      </w:r>
    </w:p>
    <w:p w:rsidR="00146B28" w:rsidRDefault="00146B28" w:rsidP="00442140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</w:p>
    <w:p w:rsidR="004F6832" w:rsidRPr="000602F2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lang w:val="en"/>
        </w:rPr>
      </w:pPr>
      <w:r w:rsidRPr="00757409">
        <w:rPr>
          <w:b/>
          <w:bCs/>
          <w:u w:val="single"/>
          <w:lang w:val="en"/>
        </w:rPr>
        <w:t>Next Meeting</w:t>
      </w:r>
      <w:r w:rsidRPr="000602F2">
        <w:rPr>
          <w:b/>
          <w:bCs/>
          <w:lang w:val="en"/>
        </w:rPr>
        <w:t xml:space="preserve">: </w:t>
      </w:r>
      <w:r w:rsidR="00757409">
        <w:rPr>
          <w:bCs/>
          <w:lang w:val="en"/>
        </w:rPr>
        <w:t>next r</w:t>
      </w:r>
      <w:r w:rsidR="004F6832" w:rsidRPr="000602F2">
        <w:rPr>
          <w:bCs/>
          <w:lang w:val="en"/>
        </w:rPr>
        <w:t>egula</w:t>
      </w:r>
      <w:r w:rsidR="00E75ACD" w:rsidRPr="000602F2">
        <w:rPr>
          <w:bCs/>
          <w:lang w:val="en"/>
        </w:rPr>
        <w:t>r meeting</w:t>
      </w:r>
      <w:r w:rsidR="00FA6C34">
        <w:rPr>
          <w:bCs/>
          <w:lang w:val="en"/>
        </w:rPr>
        <w:t>:</w:t>
      </w:r>
      <w:r w:rsidR="00990F82">
        <w:rPr>
          <w:bCs/>
          <w:lang w:val="en"/>
        </w:rPr>
        <w:t xml:space="preserve"> </w:t>
      </w:r>
      <w:r w:rsidR="00146B28">
        <w:rPr>
          <w:bCs/>
          <w:lang w:val="en"/>
        </w:rPr>
        <w:t>Apr 15</w:t>
      </w:r>
      <w:r w:rsidR="00A53EB2">
        <w:rPr>
          <w:bCs/>
          <w:lang w:val="en"/>
        </w:rPr>
        <w:t xml:space="preserve">, </w:t>
      </w:r>
      <w:r w:rsidR="00417B27">
        <w:rPr>
          <w:bCs/>
          <w:lang w:val="en"/>
        </w:rPr>
        <w:t>Room C</w:t>
      </w:r>
      <w:r w:rsidR="00BF3BCC">
        <w:rPr>
          <w:bCs/>
          <w:lang w:val="en"/>
        </w:rPr>
        <w:t>; following r</w:t>
      </w:r>
      <w:r w:rsidR="00E60C79">
        <w:rPr>
          <w:bCs/>
          <w:lang w:val="en"/>
        </w:rPr>
        <w:t>egular meeting May 6 in the Board Room</w:t>
      </w:r>
    </w:p>
    <w:p w:rsidR="004F6832" w:rsidRPr="000602F2" w:rsidRDefault="004F6832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lang w:val="en"/>
        </w:rPr>
      </w:pPr>
    </w:p>
    <w:p w:rsidR="00A53EB2" w:rsidRDefault="00E75ACD" w:rsidP="000B566B">
      <w:pPr>
        <w:widowControl w:val="0"/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 w:rsidRPr="00757409">
        <w:rPr>
          <w:b/>
          <w:bCs/>
          <w:u w:val="single"/>
          <w:lang w:val="en"/>
        </w:rPr>
        <w:t>Adjourned:</w:t>
      </w:r>
      <w:r w:rsidRPr="000602F2">
        <w:rPr>
          <w:b/>
          <w:bCs/>
          <w:lang w:val="en"/>
        </w:rPr>
        <w:t xml:space="preserve"> </w:t>
      </w:r>
      <w:r w:rsidR="003710AB">
        <w:rPr>
          <w:bCs/>
          <w:lang w:val="en"/>
        </w:rPr>
        <w:t xml:space="preserve">by </w:t>
      </w:r>
      <w:r w:rsidR="00146B28">
        <w:rPr>
          <w:bCs/>
          <w:lang w:val="en"/>
        </w:rPr>
        <w:t xml:space="preserve">Dene </w:t>
      </w:r>
      <w:r w:rsidR="003F27A1">
        <w:rPr>
          <w:bCs/>
          <w:lang w:val="en"/>
        </w:rPr>
        <w:t>at</w:t>
      </w:r>
      <w:r w:rsidR="00533BC2">
        <w:rPr>
          <w:bCs/>
          <w:lang w:val="en"/>
        </w:rPr>
        <w:t xml:space="preserve"> </w:t>
      </w:r>
      <w:r w:rsidR="00E60C79">
        <w:rPr>
          <w:bCs/>
          <w:lang w:val="en"/>
        </w:rPr>
        <w:t>11:42</w:t>
      </w:r>
      <w:r w:rsidR="00417B27">
        <w:rPr>
          <w:bCs/>
          <w:lang w:val="en"/>
        </w:rPr>
        <w:t>p</w:t>
      </w:r>
    </w:p>
    <w:p w:rsidR="00A53EB2" w:rsidRDefault="00A53EB2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lang w:val="en"/>
        </w:rPr>
      </w:pPr>
    </w:p>
    <w:p w:rsidR="00CA0754" w:rsidRDefault="00CA0754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  <w:r w:rsidRPr="00CA0754">
        <w:rPr>
          <w:b/>
          <w:lang w:val="en"/>
        </w:rPr>
        <w:t>Post-Adjournment Discussion:</w:t>
      </w:r>
      <w:r>
        <w:rPr>
          <w:lang w:val="en"/>
        </w:rPr>
        <w:t xml:space="preserve"> </w:t>
      </w:r>
      <w:r w:rsidR="00E60C79">
        <w:rPr>
          <w:lang w:val="en"/>
        </w:rPr>
        <w:t>Nelson agreed to</w:t>
      </w:r>
      <w:r w:rsidR="00333048">
        <w:rPr>
          <w:lang w:val="en"/>
        </w:rPr>
        <w:t xml:space="preserve"> be the stock watcher for Tractor Supply</w:t>
      </w:r>
      <w:r w:rsidR="00382376">
        <w:rPr>
          <w:lang w:val="en"/>
        </w:rPr>
        <w:t xml:space="preserve"> (TSCO)</w:t>
      </w:r>
    </w:p>
    <w:p w:rsidR="00CA0754" w:rsidRDefault="00CA0754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</w:p>
    <w:p w:rsidR="00E77264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  <w:r w:rsidRPr="000602F2">
        <w:rPr>
          <w:lang w:val="en"/>
        </w:rPr>
        <w:t>Submitted fo</w:t>
      </w:r>
      <w:r w:rsidR="001A4E93" w:rsidRPr="000602F2">
        <w:rPr>
          <w:lang w:val="en"/>
        </w:rPr>
        <w:t>r review by</w:t>
      </w:r>
      <w:r w:rsidR="00D66C54">
        <w:rPr>
          <w:lang w:val="en"/>
        </w:rPr>
        <w:t xml:space="preserve"> Rich Alden, recording partner.</w:t>
      </w:r>
    </w:p>
    <w:p w:rsidR="00E051C9" w:rsidRDefault="00E051C9">
      <w:pPr>
        <w:rPr>
          <w:lang w:val="en"/>
        </w:rPr>
      </w:pPr>
      <w:r>
        <w:rPr>
          <w:lang w:val="en"/>
        </w:rPr>
        <w:br w:type="page"/>
      </w:r>
    </w:p>
    <w:p w:rsidR="004D7ABE" w:rsidRDefault="004D7ABE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</w:p>
    <w:p w:rsidR="004D7ABE" w:rsidRPr="000602F2" w:rsidRDefault="00E051C9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  <w:r w:rsidRPr="00E051C9">
        <w:drawing>
          <wp:inline distT="0" distB="0" distL="0" distR="0">
            <wp:extent cx="8241528" cy="5040337"/>
            <wp:effectExtent l="317" t="0" r="7938" b="7937"/>
            <wp:docPr id="829" name="Picture 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66148" cy="5055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7ABE" w:rsidRPr="000602F2" w:rsidSect="00B42F2E">
      <w:footerReference w:type="default" r:id="rId9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250" w:rsidRDefault="00591250" w:rsidP="002A4572">
      <w:pPr>
        <w:spacing w:after="0" w:line="240" w:lineRule="auto"/>
      </w:pPr>
      <w:r>
        <w:separator/>
      </w:r>
    </w:p>
  </w:endnote>
  <w:endnote w:type="continuationSeparator" w:id="0">
    <w:p w:rsidR="00591250" w:rsidRDefault="00591250" w:rsidP="002A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1C9" w:rsidRDefault="00E051C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08F8">
      <w:rPr>
        <w:noProof/>
      </w:rPr>
      <w:t>4</w:t>
    </w:r>
    <w:r>
      <w:fldChar w:fldCharType="end"/>
    </w:r>
  </w:p>
  <w:p w:rsidR="00E051C9" w:rsidRDefault="00E051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250" w:rsidRDefault="00591250" w:rsidP="002A4572">
      <w:pPr>
        <w:spacing w:after="0" w:line="240" w:lineRule="auto"/>
      </w:pPr>
      <w:r>
        <w:separator/>
      </w:r>
    </w:p>
  </w:footnote>
  <w:footnote w:type="continuationSeparator" w:id="0">
    <w:p w:rsidR="00591250" w:rsidRDefault="00591250" w:rsidP="002A4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D23BD"/>
    <w:multiLevelType w:val="hybridMultilevel"/>
    <w:tmpl w:val="A7469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E2373"/>
    <w:multiLevelType w:val="hybridMultilevel"/>
    <w:tmpl w:val="E8FA4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1557D"/>
    <w:multiLevelType w:val="hybridMultilevel"/>
    <w:tmpl w:val="7A4E6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67E20"/>
    <w:multiLevelType w:val="hybridMultilevel"/>
    <w:tmpl w:val="B8CE3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4D545C"/>
    <w:multiLevelType w:val="hybridMultilevel"/>
    <w:tmpl w:val="1BF25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75831"/>
    <w:multiLevelType w:val="hybridMultilevel"/>
    <w:tmpl w:val="1ECE0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56544"/>
    <w:multiLevelType w:val="hybridMultilevel"/>
    <w:tmpl w:val="7A58E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557C24"/>
    <w:multiLevelType w:val="hybridMultilevel"/>
    <w:tmpl w:val="9E34C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452B40"/>
    <w:multiLevelType w:val="hybridMultilevel"/>
    <w:tmpl w:val="E6888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68043A"/>
    <w:multiLevelType w:val="hybridMultilevel"/>
    <w:tmpl w:val="9C4C7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6A0AAF"/>
    <w:multiLevelType w:val="hybridMultilevel"/>
    <w:tmpl w:val="384E8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27678C"/>
    <w:multiLevelType w:val="hybridMultilevel"/>
    <w:tmpl w:val="80F47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B9491C"/>
    <w:multiLevelType w:val="hybridMultilevel"/>
    <w:tmpl w:val="95660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83F9C"/>
    <w:multiLevelType w:val="hybridMultilevel"/>
    <w:tmpl w:val="4650E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053584"/>
    <w:multiLevelType w:val="hybridMultilevel"/>
    <w:tmpl w:val="9E84B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FF2765"/>
    <w:multiLevelType w:val="hybridMultilevel"/>
    <w:tmpl w:val="07BC2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5F055E"/>
    <w:multiLevelType w:val="hybridMultilevel"/>
    <w:tmpl w:val="38D6F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3F5DA7"/>
    <w:multiLevelType w:val="hybridMultilevel"/>
    <w:tmpl w:val="1FBE43D6"/>
    <w:lvl w:ilvl="0" w:tplc="CB96ACA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3A81E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1080B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065F5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D6487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1AA98E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B2243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228A7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6E6A6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1527F37"/>
    <w:multiLevelType w:val="hybridMultilevel"/>
    <w:tmpl w:val="5AF00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D413D4"/>
    <w:multiLevelType w:val="hybridMultilevel"/>
    <w:tmpl w:val="7BC6C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5F51D7"/>
    <w:multiLevelType w:val="hybridMultilevel"/>
    <w:tmpl w:val="E28463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7D46D39"/>
    <w:multiLevelType w:val="hybridMultilevel"/>
    <w:tmpl w:val="D214C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E346BC"/>
    <w:multiLevelType w:val="hybridMultilevel"/>
    <w:tmpl w:val="776CD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635893"/>
    <w:multiLevelType w:val="hybridMultilevel"/>
    <w:tmpl w:val="A934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43443"/>
    <w:multiLevelType w:val="hybridMultilevel"/>
    <w:tmpl w:val="544C4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071F5B"/>
    <w:multiLevelType w:val="hybridMultilevel"/>
    <w:tmpl w:val="3BD0F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033E45"/>
    <w:multiLevelType w:val="hybridMultilevel"/>
    <w:tmpl w:val="1BA85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69A4A03"/>
    <w:multiLevelType w:val="hybridMultilevel"/>
    <w:tmpl w:val="129C4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0377F3"/>
    <w:multiLevelType w:val="hybridMultilevel"/>
    <w:tmpl w:val="0318F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0447F8"/>
    <w:multiLevelType w:val="hybridMultilevel"/>
    <w:tmpl w:val="F710E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0"/>
  </w:num>
  <w:num w:numId="4">
    <w:abstractNumId w:val="26"/>
  </w:num>
  <w:num w:numId="5">
    <w:abstractNumId w:val="29"/>
  </w:num>
  <w:num w:numId="6">
    <w:abstractNumId w:val="22"/>
  </w:num>
  <w:num w:numId="7">
    <w:abstractNumId w:val="7"/>
  </w:num>
  <w:num w:numId="8">
    <w:abstractNumId w:val="13"/>
  </w:num>
  <w:num w:numId="9">
    <w:abstractNumId w:val="12"/>
  </w:num>
  <w:num w:numId="10">
    <w:abstractNumId w:val="16"/>
  </w:num>
  <w:num w:numId="11">
    <w:abstractNumId w:val="1"/>
  </w:num>
  <w:num w:numId="12">
    <w:abstractNumId w:val="27"/>
  </w:num>
  <w:num w:numId="13">
    <w:abstractNumId w:val="19"/>
  </w:num>
  <w:num w:numId="14">
    <w:abstractNumId w:val="9"/>
  </w:num>
  <w:num w:numId="15">
    <w:abstractNumId w:val="24"/>
  </w:num>
  <w:num w:numId="16">
    <w:abstractNumId w:val="28"/>
  </w:num>
  <w:num w:numId="17">
    <w:abstractNumId w:val="25"/>
  </w:num>
  <w:num w:numId="18">
    <w:abstractNumId w:val="8"/>
  </w:num>
  <w:num w:numId="19">
    <w:abstractNumId w:val="10"/>
  </w:num>
  <w:num w:numId="20">
    <w:abstractNumId w:val="4"/>
  </w:num>
  <w:num w:numId="21">
    <w:abstractNumId w:val="5"/>
  </w:num>
  <w:num w:numId="22">
    <w:abstractNumId w:val="17"/>
  </w:num>
  <w:num w:numId="23">
    <w:abstractNumId w:val="6"/>
  </w:num>
  <w:num w:numId="24">
    <w:abstractNumId w:val="11"/>
  </w:num>
  <w:num w:numId="25">
    <w:abstractNumId w:val="14"/>
  </w:num>
  <w:num w:numId="26">
    <w:abstractNumId w:val="0"/>
  </w:num>
  <w:num w:numId="27">
    <w:abstractNumId w:val="21"/>
  </w:num>
  <w:num w:numId="28">
    <w:abstractNumId w:val="23"/>
  </w:num>
  <w:num w:numId="29">
    <w:abstractNumId w:val="1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B3"/>
    <w:rsid w:val="0000616C"/>
    <w:rsid w:val="00011ED0"/>
    <w:rsid w:val="000142BF"/>
    <w:rsid w:val="00023178"/>
    <w:rsid w:val="0004005C"/>
    <w:rsid w:val="0004038A"/>
    <w:rsid w:val="00041055"/>
    <w:rsid w:val="00041373"/>
    <w:rsid w:val="00043E86"/>
    <w:rsid w:val="0005074D"/>
    <w:rsid w:val="00054759"/>
    <w:rsid w:val="000602F2"/>
    <w:rsid w:val="00062049"/>
    <w:rsid w:val="00071C39"/>
    <w:rsid w:val="00076101"/>
    <w:rsid w:val="00092D74"/>
    <w:rsid w:val="000A73A4"/>
    <w:rsid w:val="000B0517"/>
    <w:rsid w:val="000B0529"/>
    <w:rsid w:val="000B183D"/>
    <w:rsid w:val="000B422E"/>
    <w:rsid w:val="000B566B"/>
    <w:rsid w:val="000D2A9F"/>
    <w:rsid w:val="000D4AB7"/>
    <w:rsid w:val="000E4EB2"/>
    <w:rsid w:val="000F593C"/>
    <w:rsid w:val="00102270"/>
    <w:rsid w:val="00102C0E"/>
    <w:rsid w:val="00121C90"/>
    <w:rsid w:val="00123D4D"/>
    <w:rsid w:val="00130073"/>
    <w:rsid w:val="00142072"/>
    <w:rsid w:val="00142673"/>
    <w:rsid w:val="0014445E"/>
    <w:rsid w:val="00146B28"/>
    <w:rsid w:val="0014761F"/>
    <w:rsid w:val="0015170B"/>
    <w:rsid w:val="00161D17"/>
    <w:rsid w:val="00162F92"/>
    <w:rsid w:val="00184D03"/>
    <w:rsid w:val="001866F5"/>
    <w:rsid w:val="001A4E93"/>
    <w:rsid w:val="001B330B"/>
    <w:rsid w:val="001B4C52"/>
    <w:rsid w:val="001F1D61"/>
    <w:rsid w:val="00200C02"/>
    <w:rsid w:val="0020493D"/>
    <w:rsid w:val="00212C54"/>
    <w:rsid w:val="00213D79"/>
    <w:rsid w:val="00241743"/>
    <w:rsid w:val="002547D0"/>
    <w:rsid w:val="00266818"/>
    <w:rsid w:val="0027713C"/>
    <w:rsid w:val="002864DE"/>
    <w:rsid w:val="002A4572"/>
    <w:rsid w:val="002A4B0C"/>
    <w:rsid w:val="002A5BD2"/>
    <w:rsid w:val="002B69FE"/>
    <w:rsid w:val="002B79E6"/>
    <w:rsid w:val="002B7AC2"/>
    <w:rsid w:val="002C0F69"/>
    <w:rsid w:val="002C3DA7"/>
    <w:rsid w:val="002C48A3"/>
    <w:rsid w:val="002D6E53"/>
    <w:rsid w:val="002D7FF2"/>
    <w:rsid w:val="002F4B06"/>
    <w:rsid w:val="002F512B"/>
    <w:rsid w:val="00304C2A"/>
    <w:rsid w:val="00306CDE"/>
    <w:rsid w:val="0031106E"/>
    <w:rsid w:val="00320FF0"/>
    <w:rsid w:val="00333048"/>
    <w:rsid w:val="003369AD"/>
    <w:rsid w:val="00336C5A"/>
    <w:rsid w:val="00340A2F"/>
    <w:rsid w:val="00341E4D"/>
    <w:rsid w:val="00343C25"/>
    <w:rsid w:val="00344702"/>
    <w:rsid w:val="00344CB3"/>
    <w:rsid w:val="0036182A"/>
    <w:rsid w:val="00363FC2"/>
    <w:rsid w:val="003710AB"/>
    <w:rsid w:val="00372C9D"/>
    <w:rsid w:val="00376370"/>
    <w:rsid w:val="00382376"/>
    <w:rsid w:val="003A127D"/>
    <w:rsid w:val="003B163B"/>
    <w:rsid w:val="003C3387"/>
    <w:rsid w:val="003C5747"/>
    <w:rsid w:val="003D0018"/>
    <w:rsid w:val="003F2240"/>
    <w:rsid w:val="003F27A1"/>
    <w:rsid w:val="004043D4"/>
    <w:rsid w:val="00417B27"/>
    <w:rsid w:val="00440BE4"/>
    <w:rsid w:val="00440E14"/>
    <w:rsid w:val="004412F0"/>
    <w:rsid w:val="004417A7"/>
    <w:rsid w:val="00442140"/>
    <w:rsid w:val="004703BC"/>
    <w:rsid w:val="00487E71"/>
    <w:rsid w:val="004A6076"/>
    <w:rsid w:val="004B4940"/>
    <w:rsid w:val="004B636E"/>
    <w:rsid w:val="004C0F9F"/>
    <w:rsid w:val="004D2844"/>
    <w:rsid w:val="004D7ABE"/>
    <w:rsid w:val="004E367E"/>
    <w:rsid w:val="004F1404"/>
    <w:rsid w:val="004F6832"/>
    <w:rsid w:val="00500094"/>
    <w:rsid w:val="0050308A"/>
    <w:rsid w:val="00513DEC"/>
    <w:rsid w:val="00514B85"/>
    <w:rsid w:val="00532EFC"/>
    <w:rsid w:val="00533BC2"/>
    <w:rsid w:val="00543320"/>
    <w:rsid w:val="005563A0"/>
    <w:rsid w:val="00570BB0"/>
    <w:rsid w:val="005742AE"/>
    <w:rsid w:val="0057722D"/>
    <w:rsid w:val="00590F3A"/>
    <w:rsid w:val="00591250"/>
    <w:rsid w:val="005A1684"/>
    <w:rsid w:val="005A584F"/>
    <w:rsid w:val="005A5ED9"/>
    <w:rsid w:val="005B565F"/>
    <w:rsid w:val="005C6CB3"/>
    <w:rsid w:val="005D1C17"/>
    <w:rsid w:val="005D2740"/>
    <w:rsid w:val="005D785D"/>
    <w:rsid w:val="005E106F"/>
    <w:rsid w:val="006308F8"/>
    <w:rsid w:val="006408F8"/>
    <w:rsid w:val="00653B91"/>
    <w:rsid w:val="00657F5D"/>
    <w:rsid w:val="006757D1"/>
    <w:rsid w:val="006757D2"/>
    <w:rsid w:val="006804AE"/>
    <w:rsid w:val="006855DF"/>
    <w:rsid w:val="006939A2"/>
    <w:rsid w:val="006A3CE7"/>
    <w:rsid w:val="006A4018"/>
    <w:rsid w:val="006D47B7"/>
    <w:rsid w:val="006D512F"/>
    <w:rsid w:val="006E14D3"/>
    <w:rsid w:val="006E14F8"/>
    <w:rsid w:val="006E1D1B"/>
    <w:rsid w:val="0070192B"/>
    <w:rsid w:val="00704FD3"/>
    <w:rsid w:val="0071468F"/>
    <w:rsid w:val="00743A99"/>
    <w:rsid w:val="0074455D"/>
    <w:rsid w:val="00757409"/>
    <w:rsid w:val="00761AFE"/>
    <w:rsid w:val="007731F2"/>
    <w:rsid w:val="00787C66"/>
    <w:rsid w:val="0079379A"/>
    <w:rsid w:val="007A042B"/>
    <w:rsid w:val="007B2BE5"/>
    <w:rsid w:val="007C1C36"/>
    <w:rsid w:val="007C6B15"/>
    <w:rsid w:val="007D2BD0"/>
    <w:rsid w:val="007F3D76"/>
    <w:rsid w:val="00801258"/>
    <w:rsid w:val="008148B7"/>
    <w:rsid w:val="00822D3F"/>
    <w:rsid w:val="008330CB"/>
    <w:rsid w:val="00834BAB"/>
    <w:rsid w:val="00835C17"/>
    <w:rsid w:val="00837358"/>
    <w:rsid w:val="00840DE2"/>
    <w:rsid w:val="00844AA9"/>
    <w:rsid w:val="0085590E"/>
    <w:rsid w:val="008703DF"/>
    <w:rsid w:val="00872D34"/>
    <w:rsid w:val="00876DDF"/>
    <w:rsid w:val="00876F21"/>
    <w:rsid w:val="00881144"/>
    <w:rsid w:val="0088178E"/>
    <w:rsid w:val="00890171"/>
    <w:rsid w:val="008945B0"/>
    <w:rsid w:val="00894994"/>
    <w:rsid w:val="0089734D"/>
    <w:rsid w:val="008B2E1F"/>
    <w:rsid w:val="008C2306"/>
    <w:rsid w:val="008D1069"/>
    <w:rsid w:val="008D2086"/>
    <w:rsid w:val="008D2FE0"/>
    <w:rsid w:val="008E42EB"/>
    <w:rsid w:val="008E77AA"/>
    <w:rsid w:val="00901138"/>
    <w:rsid w:val="009061FC"/>
    <w:rsid w:val="00913C85"/>
    <w:rsid w:val="0091497E"/>
    <w:rsid w:val="00957404"/>
    <w:rsid w:val="00972EA1"/>
    <w:rsid w:val="00990F82"/>
    <w:rsid w:val="00991AC8"/>
    <w:rsid w:val="009A7A14"/>
    <w:rsid w:val="009B1F89"/>
    <w:rsid w:val="009C29AF"/>
    <w:rsid w:val="009D0FF6"/>
    <w:rsid w:val="009F5EFD"/>
    <w:rsid w:val="00A04ECD"/>
    <w:rsid w:val="00A070AC"/>
    <w:rsid w:val="00A15BF4"/>
    <w:rsid w:val="00A20120"/>
    <w:rsid w:val="00A26E53"/>
    <w:rsid w:val="00A36680"/>
    <w:rsid w:val="00A53EB2"/>
    <w:rsid w:val="00A76333"/>
    <w:rsid w:val="00AA3A1E"/>
    <w:rsid w:val="00AB46F0"/>
    <w:rsid w:val="00AC1C8A"/>
    <w:rsid w:val="00AC793D"/>
    <w:rsid w:val="00AE61B6"/>
    <w:rsid w:val="00B0188A"/>
    <w:rsid w:val="00B06799"/>
    <w:rsid w:val="00B173FA"/>
    <w:rsid w:val="00B35A0B"/>
    <w:rsid w:val="00B41922"/>
    <w:rsid w:val="00B42F2E"/>
    <w:rsid w:val="00B53B2F"/>
    <w:rsid w:val="00B63B90"/>
    <w:rsid w:val="00B67333"/>
    <w:rsid w:val="00B67F82"/>
    <w:rsid w:val="00B775D9"/>
    <w:rsid w:val="00BC49F7"/>
    <w:rsid w:val="00BD1726"/>
    <w:rsid w:val="00BD4A4C"/>
    <w:rsid w:val="00BE14CB"/>
    <w:rsid w:val="00BE6EB8"/>
    <w:rsid w:val="00BE74E2"/>
    <w:rsid w:val="00BF3BCC"/>
    <w:rsid w:val="00BF4F1E"/>
    <w:rsid w:val="00C00CE2"/>
    <w:rsid w:val="00C02C89"/>
    <w:rsid w:val="00C166AF"/>
    <w:rsid w:val="00C2232A"/>
    <w:rsid w:val="00C355E5"/>
    <w:rsid w:val="00C5266C"/>
    <w:rsid w:val="00C63116"/>
    <w:rsid w:val="00C6768F"/>
    <w:rsid w:val="00C71C61"/>
    <w:rsid w:val="00C741EF"/>
    <w:rsid w:val="00C90762"/>
    <w:rsid w:val="00CA0754"/>
    <w:rsid w:val="00CA1FB3"/>
    <w:rsid w:val="00CA379A"/>
    <w:rsid w:val="00CC45F4"/>
    <w:rsid w:val="00CC6D06"/>
    <w:rsid w:val="00CE0978"/>
    <w:rsid w:val="00CE545B"/>
    <w:rsid w:val="00D05C3E"/>
    <w:rsid w:val="00D106F5"/>
    <w:rsid w:val="00D11EB5"/>
    <w:rsid w:val="00D150D2"/>
    <w:rsid w:val="00D274C1"/>
    <w:rsid w:val="00D31E74"/>
    <w:rsid w:val="00D33585"/>
    <w:rsid w:val="00D435C4"/>
    <w:rsid w:val="00D66C54"/>
    <w:rsid w:val="00DB5B19"/>
    <w:rsid w:val="00DC3DBD"/>
    <w:rsid w:val="00DC5693"/>
    <w:rsid w:val="00DD0D0D"/>
    <w:rsid w:val="00DD2ECA"/>
    <w:rsid w:val="00DF2EFB"/>
    <w:rsid w:val="00E051C9"/>
    <w:rsid w:val="00E1011D"/>
    <w:rsid w:val="00E249AA"/>
    <w:rsid w:val="00E270AF"/>
    <w:rsid w:val="00E41675"/>
    <w:rsid w:val="00E47F72"/>
    <w:rsid w:val="00E533E4"/>
    <w:rsid w:val="00E60C79"/>
    <w:rsid w:val="00E63305"/>
    <w:rsid w:val="00E75548"/>
    <w:rsid w:val="00E75ACD"/>
    <w:rsid w:val="00E769B1"/>
    <w:rsid w:val="00E77264"/>
    <w:rsid w:val="00E86EDF"/>
    <w:rsid w:val="00E911CC"/>
    <w:rsid w:val="00EA46EE"/>
    <w:rsid w:val="00EA76BA"/>
    <w:rsid w:val="00EB6B68"/>
    <w:rsid w:val="00EC0822"/>
    <w:rsid w:val="00EC46D8"/>
    <w:rsid w:val="00EC792C"/>
    <w:rsid w:val="00ED3C5D"/>
    <w:rsid w:val="00EE2FC6"/>
    <w:rsid w:val="00EE724A"/>
    <w:rsid w:val="00F04FD1"/>
    <w:rsid w:val="00F0623C"/>
    <w:rsid w:val="00F10B7E"/>
    <w:rsid w:val="00F32287"/>
    <w:rsid w:val="00F33257"/>
    <w:rsid w:val="00F42A28"/>
    <w:rsid w:val="00F50DE0"/>
    <w:rsid w:val="00F54665"/>
    <w:rsid w:val="00F8478F"/>
    <w:rsid w:val="00FA3914"/>
    <w:rsid w:val="00FA6C34"/>
    <w:rsid w:val="00FB253F"/>
    <w:rsid w:val="00FB360E"/>
    <w:rsid w:val="00FB5BCA"/>
    <w:rsid w:val="00FC1C43"/>
    <w:rsid w:val="00FD2076"/>
    <w:rsid w:val="00FD4E4E"/>
    <w:rsid w:val="00FE2FA9"/>
    <w:rsid w:val="00FE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078C778-E01D-4128-B6B2-A50BA9DC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A457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A457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C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7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14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57404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57404"/>
    <w:rPr>
      <w:rFonts w:ascii="Calibri" w:eastAsiaTheme="minorHAnsi" w:hAnsi="Calibr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757D2"/>
    <w:rPr>
      <w:color w:val="800080" w:themeColor="followedHyperlink"/>
      <w:u w:val="single"/>
    </w:rPr>
  </w:style>
  <w:style w:type="table" w:customStyle="1" w:styleId="TableGrid">
    <w:name w:val="TableGrid"/>
    <w:rsid w:val="00142072"/>
    <w:pPr>
      <w:spacing w:after="0" w:line="240" w:lineRule="auto"/>
    </w:pPr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30AD4-6914-4FF2-AC50-FA2A4A87E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2559</TotalTime>
  <Pages>4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Wallick</dc:creator>
  <cp:lastModifiedBy>RichA</cp:lastModifiedBy>
  <cp:revision>15</cp:revision>
  <cp:lastPrinted>2017-03-24T20:57:00Z</cp:lastPrinted>
  <dcterms:created xsi:type="dcterms:W3CDTF">2017-03-19T12:40:00Z</dcterms:created>
  <dcterms:modified xsi:type="dcterms:W3CDTF">2017-03-27T09:53:00Z</dcterms:modified>
</cp:coreProperties>
</file>