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01642D">
        <w:rPr>
          <w:bCs/>
          <w:lang w:val="en"/>
        </w:rPr>
        <w:t xml:space="preserve"> Library – April 1</w:t>
      </w:r>
      <w:r w:rsidR="00146B28">
        <w:rPr>
          <w:bCs/>
          <w:lang w:val="en"/>
        </w:rPr>
        <w:t>5</w:t>
      </w:r>
      <w:r w:rsidR="0036182A">
        <w:rPr>
          <w:bCs/>
          <w:lang w:val="en"/>
        </w:rPr>
        <w:t>, 2017</w:t>
      </w:r>
    </w:p>
    <w:p w:rsidR="00440BE4" w:rsidRPr="000602F2" w:rsidRDefault="00440BE4" w:rsidP="000B566B">
      <w:pPr>
        <w:widowControl w:val="0"/>
        <w:autoSpaceDE w:val="0"/>
        <w:autoSpaceDN w:val="0"/>
        <w:adjustRightInd w:val="0"/>
        <w:spacing w:after="0" w:line="240" w:lineRule="auto"/>
        <w:rPr>
          <w:b/>
          <w:bCs/>
          <w:lang w:val="en"/>
        </w:rPr>
      </w:pPr>
    </w:p>
    <w:p w:rsidR="00FB6AC3"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266818">
        <w:rPr>
          <w:bCs/>
          <w:lang w:val="en"/>
        </w:rPr>
        <w:t xml:space="preserve">Acting </w:t>
      </w:r>
      <w:r w:rsidR="00041373">
        <w:rPr>
          <w:bCs/>
          <w:lang w:val="en"/>
        </w:rPr>
        <w:t>Presiding Partner</w:t>
      </w:r>
      <w:r w:rsidR="00266818">
        <w:rPr>
          <w:bCs/>
          <w:lang w:val="en"/>
        </w:rPr>
        <w:t xml:space="preserve"> Dene Alden</w:t>
      </w:r>
      <w:r w:rsidRPr="000602F2">
        <w:rPr>
          <w:lang w:val="en"/>
        </w:rPr>
        <w:t xml:space="preserve"> cal</w:t>
      </w:r>
      <w:r w:rsidR="00CA1FB3" w:rsidRPr="000602F2">
        <w:rPr>
          <w:lang w:val="en"/>
        </w:rPr>
        <w:t xml:space="preserve">led the meeting to order at </w:t>
      </w:r>
      <w:r w:rsidR="00FB6AC3">
        <w:rPr>
          <w:lang w:val="en"/>
        </w:rPr>
        <w:t>9:50</w:t>
      </w:r>
      <w:r w:rsidR="000A73A4" w:rsidRPr="000602F2">
        <w:rPr>
          <w:lang w:val="en"/>
        </w:rPr>
        <w:t xml:space="preserve"> AM.  </w:t>
      </w:r>
      <w:r w:rsidR="000A73A4" w:rsidRPr="000602F2">
        <w:rPr>
          <w:b/>
          <w:i/>
          <w:lang w:val="en"/>
        </w:rPr>
        <w:t>Guests on webinar</w:t>
      </w:r>
      <w:r w:rsidRPr="000602F2">
        <w:rPr>
          <w:b/>
          <w:i/>
          <w:lang w:val="en"/>
        </w:rPr>
        <w:t>:</w:t>
      </w:r>
      <w:r w:rsidR="006D47B7">
        <w:rPr>
          <w:b/>
          <w:i/>
          <w:lang w:val="en"/>
        </w:rPr>
        <w:t xml:space="preserve"> </w:t>
      </w:r>
      <w:r w:rsidR="00FB6AC3">
        <w:rPr>
          <w:lang w:val="en"/>
        </w:rPr>
        <w:t>Sharon Lindquist-Skelly</w:t>
      </w:r>
      <w:r w:rsidR="00F33257">
        <w:rPr>
          <w:lang w:val="en"/>
        </w:rPr>
        <w:t xml:space="preserve"> </w:t>
      </w:r>
      <w:r w:rsidR="00F33257" w:rsidRPr="008E42EB">
        <w:rPr>
          <w:b/>
          <w:i/>
          <w:lang w:val="en"/>
        </w:rPr>
        <w:t>G</w:t>
      </w:r>
      <w:r w:rsidRPr="000602F2">
        <w:rPr>
          <w:b/>
          <w:i/>
          <w:lang w:val="en"/>
        </w:rPr>
        <w:t xml:space="preserve">uests </w:t>
      </w:r>
      <w:r w:rsidR="000A73A4" w:rsidRPr="000602F2">
        <w:rPr>
          <w:b/>
          <w:i/>
          <w:lang w:val="en"/>
        </w:rPr>
        <w:t>in person</w:t>
      </w:r>
      <w:r w:rsidRPr="000602F2">
        <w:rPr>
          <w:b/>
          <w:i/>
          <w:lang w:val="en"/>
        </w:rPr>
        <w:t>:</w:t>
      </w:r>
      <w:r w:rsidR="00417B27">
        <w:rPr>
          <w:lang w:val="en"/>
        </w:rPr>
        <w:t xml:space="preserve"> </w:t>
      </w:r>
      <w:proofErr w:type="spellStart"/>
      <w:r w:rsidR="00FB6AC3">
        <w:rPr>
          <w:lang w:val="en"/>
        </w:rPr>
        <w:t>Aran</w:t>
      </w:r>
      <w:proofErr w:type="spellEnd"/>
      <w:r w:rsidR="00FB6AC3">
        <w:rPr>
          <w:lang w:val="en"/>
        </w:rPr>
        <w:t xml:space="preserve"> Coughlin, Ed </w:t>
      </w:r>
      <w:proofErr w:type="spellStart"/>
      <w:r w:rsidR="00FB6AC3">
        <w:rPr>
          <w:lang w:val="en"/>
        </w:rPr>
        <w:t>Maurya</w:t>
      </w:r>
      <w:proofErr w:type="spellEnd"/>
      <w:r w:rsidR="00EC7420">
        <w:rPr>
          <w:lang w:val="en"/>
        </w:rPr>
        <w:t xml:space="preserve">, both from </w:t>
      </w:r>
      <w:proofErr w:type="spellStart"/>
      <w:r w:rsidR="00EC7420" w:rsidRPr="00EC7420">
        <w:rPr>
          <w:i/>
          <w:lang w:val="en"/>
        </w:rPr>
        <w:t>meetup</w:t>
      </w:r>
      <w:proofErr w:type="spellEnd"/>
      <w:r w:rsidR="00EC7420" w:rsidRPr="00EC7420">
        <w:rPr>
          <w:i/>
          <w:lang w:val="en"/>
        </w:rPr>
        <w:t>.</w:t>
      </w:r>
    </w:p>
    <w:p w:rsidR="0001642D" w:rsidRDefault="0001642D" w:rsidP="000B566B">
      <w:pPr>
        <w:widowControl w:val="0"/>
        <w:autoSpaceDE w:val="0"/>
        <w:autoSpaceDN w:val="0"/>
        <w:adjustRightInd w:val="0"/>
        <w:spacing w:after="0" w:line="240" w:lineRule="auto"/>
        <w:rPr>
          <w:lang w:val="en"/>
        </w:rPr>
      </w:pP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235"/>
        <w:gridCol w:w="990"/>
        <w:gridCol w:w="1080"/>
        <w:gridCol w:w="2880"/>
        <w:gridCol w:w="810"/>
        <w:gridCol w:w="1260"/>
      </w:tblGrid>
      <w:tr w:rsidR="00440BE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9C29AF">
        <w:trPr>
          <w:trHeight w:val="25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Jackie </w:t>
            </w:r>
            <w:proofErr w:type="spellStart"/>
            <w:r w:rsidRPr="00F33257">
              <w:rPr>
                <w:lang w:val="en"/>
              </w:rPr>
              <w:t>Koski</w:t>
            </w:r>
            <w:proofErr w:type="spellEnd"/>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Harrison </w:t>
            </w:r>
            <w:proofErr w:type="spellStart"/>
            <w:r w:rsidRPr="00F33257">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B6AC3" w:rsidP="00D31E74">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B6AC3" w:rsidP="00D31E74">
            <w:pPr>
              <w:widowControl w:val="0"/>
              <w:autoSpaceDE w:val="0"/>
              <w:autoSpaceDN w:val="0"/>
              <w:adjustRightInd w:val="0"/>
              <w:spacing w:after="0" w:line="240" w:lineRule="auto"/>
              <w:jc w:val="center"/>
              <w:rPr>
                <w:lang w:val="en"/>
              </w:rPr>
            </w:pPr>
            <w:r>
              <w:rPr>
                <w:lang w:val="en"/>
              </w:rPr>
              <w:t>Marty</w:t>
            </w: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Ian Barnes</w:t>
            </w:r>
            <w:r w:rsidR="009C29AF">
              <w:rPr>
                <w:lang w:val="en"/>
              </w:rPr>
              <w:t>, Education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B6AC3" w:rsidP="00FB6AC3">
            <w:pPr>
              <w:widowControl w:val="0"/>
              <w:autoSpaceDE w:val="0"/>
              <w:autoSpaceDN w:val="0"/>
              <w:adjustRightInd w:val="0"/>
              <w:spacing w:after="0" w:line="240" w:lineRule="auto"/>
              <w:jc w:val="center"/>
              <w:rPr>
                <w:lang w:val="en"/>
              </w:rPr>
            </w:pPr>
            <w:r>
              <w:rPr>
                <w:lang w:val="en"/>
              </w:rPr>
              <w:t>(Marty)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2B6D6C" w:rsidP="00D31E74">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EB1912" w:rsidP="00487E71">
            <w:pPr>
              <w:widowControl w:val="0"/>
              <w:autoSpaceDE w:val="0"/>
              <w:autoSpaceDN w:val="0"/>
              <w:adjustRightInd w:val="0"/>
              <w:spacing w:after="0" w:line="240" w:lineRule="auto"/>
              <w:jc w:val="center"/>
              <w:rPr>
                <w:lang w:val="en"/>
              </w:rPr>
            </w:pPr>
            <w:r>
              <w:rPr>
                <w:lang w:val="en"/>
              </w:rPr>
              <w:t>Jackie</w:t>
            </w:r>
          </w:p>
        </w:tc>
      </w:tr>
      <w:tr w:rsidR="00EB1912"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Betsy Eller, Financial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r>
      <w:tr w:rsidR="00EB1912" w:rsidRPr="000602F2" w:rsidTr="009C29AF">
        <w:trPr>
          <w:trHeight w:val="170"/>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Craig Jacobsen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 xml:space="preserve">Larry </w:t>
            </w:r>
            <w:proofErr w:type="spellStart"/>
            <w:r w:rsidRPr="00F33257">
              <w:rPr>
                <w:lang w:val="en"/>
              </w:rPr>
              <w:t>Averbeck</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(Marty)</w:t>
            </w:r>
          </w:p>
        </w:tc>
      </w:tr>
      <w:tr w:rsidR="00EB1912"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Marty Eckerle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p>
        </w:tc>
      </w:tr>
      <w:tr w:rsidR="00EB1912"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 xml:space="preserve">Gerry </w:t>
            </w:r>
            <w:proofErr w:type="spellStart"/>
            <w:r w:rsidRPr="00F33257">
              <w:rPr>
                <w:lang w:val="en"/>
              </w:rPr>
              <w:t>Geverdt</w:t>
            </w:r>
            <w:proofErr w:type="spellEnd"/>
            <w:r w:rsidRPr="00F33257">
              <w:rPr>
                <w:lang w:val="en"/>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r>
      <w:tr w:rsidR="00EB1912"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Dene Alden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 xml:space="preserve">Michele </w:t>
            </w:r>
            <w:proofErr w:type="spellStart"/>
            <w:r w:rsidRPr="00F33257">
              <w:rPr>
                <w:lang w:val="en"/>
              </w:rPr>
              <w:t>Grinoch</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p>
        </w:tc>
      </w:tr>
      <w:tr w:rsidR="00EB1912"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Latisha Douglas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w:t>
            </w:r>
            <w:r w:rsidR="002B6D6C">
              <w:rPr>
                <w:lang w:val="en"/>
              </w:rPr>
              <w:t>Jackie</w:t>
            </w:r>
            <w:r>
              <w:rPr>
                <w:lang w:val="en"/>
              </w:rPr>
              <w:t>)</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r>
      <w:tr w:rsidR="00EB1912"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Richard Alden</w:t>
            </w:r>
            <w:r>
              <w:rPr>
                <w:lang w:val="en"/>
              </w:rPr>
              <w:t>, Recording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rPr>
                <w:lang w:val="en"/>
              </w:rPr>
            </w:pPr>
            <w:r>
              <w:rPr>
                <w:lang w:val="en"/>
              </w:rPr>
              <w:t>Nelson Page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B6AC3" w:rsidP="00EB1912">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146B28" w:rsidRDefault="00146B28" w:rsidP="000B566B">
      <w:pPr>
        <w:widowControl w:val="0"/>
        <w:autoSpaceDE w:val="0"/>
        <w:autoSpaceDN w:val="0"/>
        <w:adjustRightInd w:val="0"/>
        <w:spacing w:after="0" w:line="240" w:lineRule="auto"/>
        <w:rPr>
          <w:b/>
          <w:bCs/>
          <w:u w:val="single"/>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005C6CB3">
        <w:rPr>
          <w:lang w:val="en"/>
        </w:rPr>
        <w:t>Minutes of the</w:t>
      </w:r>
      <w:r w:rsidRPr="000602F2">
        <w:rPr>
          <w:lang w:val="en"/>
        </w:rPr>
        <w:t xml:space="preserve"> </w:t>
      </w:r>
      <w:r w:rsidR="00FB6AC3">
        <w:rPr>
          <w:lang w:val="en"/>
        </w:rPr>
        <w:t>March</w:t>
      </w:r>
      <w:r w:rsidRPr="000602F2">
        <w:rPr>
          <w:lang w:val="en"/>
        </w:rPr>
        <w:t xml:space="preserve"> meeting were approved</w:t>
      </w:r>
      <w:r w:rsidR="00D66C54">
        <w:rPr>
          <w:lang w:val="en"/>
        </w:rPr>
        <w:t xml:space="preserve"> and posted</w:t>
      </w:r>
      <w:r w:rsidR="00EC0822" w:rsidRPr="000602F2">
        <w:rPr>
          <w:lang w:val="en"/>
        </w:rPr>
        <w:t>.</w:t>
      </w:r>
    </w:p>
    <w:p w:rsidR="0036182A" w:rsidRPr="000602F2" w:rsidRDefault="0036182A"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00616C" w:rsidRPr="00FB6AC3" w:rsidRDefault="0085590E" w:rsidP="00340A2F">
      <w:pPr>
        <w:pStyle w:val="PlainText"/>
        <w:widowControl w:val="0"/>
        <w:numPr>
          <w:ilvl w:val="0"/>
          <w:numId w:val="6"/>
        </w:numPr>
        <w:autoSpaceDE w:val="0"/>
        <w:autoSpaceDN w:val="0"/>
        <w:adjustRightInd w:val="0"/>
        <w:rPr>
          <w:lang w:val="en"/>
        </w:rPr>
      </w:pPr>
      <w:r>
        <w:t>C</w:t>
      </w:r>
      <w:r w:rsidR="00957404">
        <w:t>ash balance of</w:t>
      </w:r>
      <w:r w:rsidR="00340A2F">
        <w:t xml:space="preserve"> </w:t>
      </w:r>
      <w:r w:rsidR="00146B28">
        <w:t>$</w:t>
      </w:r>
      <w:r w:rsidR="00C42378">
        <w:t>8,567.96</w:t>
      </w:r>
      <w:r w:rsidR="0001642D">
        <w:t xml:space="preserve"> </w:t>
      </w:r>
      <w:r w:rsidR="00C42378">
        <w:t>n</w:t>
      </w:r>
      <w:r w:rsidR="006804AE">
        <w:t xml:space="preserve">et of </w:t>
      </w:r>
      <w:r w:rsidR="00266818">
        <w:t>Cliff’s</w:t>
      </w:r>
      <w:r w:rsidR="00C42378">
        <w:t xml:space="preserve"> ($13,052.46) and Rochelle’s</w:t>
      </w:r>
      <w:r w:rsidR="00266818">
        <w:t xml:space="preserve"> </w:t>
      </w:r>
      <w:r w:rsidR="00C42378">
        <w:t xml:space="preserve">($124.13) </w:t>
      </w:r>
      <w:r w:rsidR="00266818">
        <w:t>payout</w:t>
      </w:r>
      <w:r w:rsidR="00C42378">
        <w:t>s</w:t>
      </w:r>
      <w:r w:rsidR="00FB6AC3">
        <w:t xml:space="preserve"> and a $13.68 check for Betsy’s expenses</w:t>
      </w:r>
      <w:r w:rsidR="00266818">
        <w:t xml:space="preserve">. </w:t>
      </w:r>
      <w:r w:rsidR="0001642D">
        <w:t>No outstanding limit orders.</w:t>
      </w:r>
    </w:p>
    <w:p w:rsidR="00FB6AC3" w:rsidRPr="00FB6AC3" w:rsidRDefault="00FB6AC3" w:rsidP="00340A2F">
      <w:pPr>
        <w:pStyle w:val="PlainText"/>
        <w:widowControl w:val="0"/>
        <w:numPr>
          <w:ilvl w:val="0"/>
          <w:numId w:val="6"/>
        </w:numPr>
        <w:autoSpaceDE w:val="0"/>
        <w:autoSpaceDN w:val="0"/>
        <w:adjustRightInd w:val="0"/>
        <w:rPr>
          <w:lang w:val="en"/>
        </w:rPr>
      </w:pPr>
      <w:r>
        <w:t>Folio Investing reflected fractional shares purc</w:t>
      </w:r>
      <w:r w:rsidR="008511CF">
        <w:t>hased, not the buy or</w:t>
      </w:r>
      <w:r>
        <w:t>der. Betsy to resolve this prior to treasurer’s report being filed for audit.</w:t>
      </w:r>
    </w:p>
    <w:p w:rsidR="0001642D" w:rsidRPr="00EB2FB1" w:rsidRDefault="00FB6AC3" w:rsidP="00C32C04">
      <w:pPr>
        <w:pStyle w:val="PlainText"/>
        <w:widowControl w:val="0"/>
        <w:numPr>
          <w:ilvl w:val="0"/>
          <w:numId w:val="6"/>
        </w:numPr>
        <w:autoSpaceDE w:val="0"/>
        <w:autoSpaceDN w:val="0"/>
        <w:adjustRightInd w:val="0"/>
        <w:rPr>
          <w:rFonts w:asciiTheme="minorHAnsi" w:hAnsiTheme="minorHAnsi" w:cstheme="minorHAnsi"/>
          <w:szCs w:val="22"/>
          <w:lang w:val="en"/>
        </w:rPr>
      </w:pPr>
      <w:r>
        <w:t xml:space="preserve">Shares of Cliff’s holdings can be purchased by other members. Those interested should contact Betsy and/or </w:t>
      </w:r>
      <w:r w:rsidRPr="00EB2FB1">
        <w:rPr>
          <w:rFonts w:asciiTheme="minorHAnsi" w:hAnsiTheme="minorHAnsi" w:cstheme="minorHAnsi"/>
          <w:szCs w:val="22"/>
        </w:rPr>
        <w:t>Dene.</w:t>
      </w:r>
    </w:p>
    <w:p w:rsidR="0001642D" w:rsidRPr="00EB2FB1" w:rsidRDefault="0001642D" w:rsidP="00487E71">
      <w:pPr>
        <w:pStyle w:val="PlainText"/>
        <w:widowControl w:val="0"/>
        <w:autoSpaceDE w:val="0"/>
        <w:autoSpaceDN w:val="0"/>
        <w:adjustRightInd w:val="0"/>
        <w:rPr>
          <w:rFonts w:asciiTheme="minorHAnsi" w:hAnsiTheme="minorHAnsi" w:cstheme="minorHAnsi"/>
          <w:szCs w:val="22"/>
          <w:lang w:val="en"/>
        </w:rPr>
      </w:pPr>
    </w:p>
    <w:p w:rsidR="007B2BE5" w:rsidRPr="00EB2FB1" w:rsidRDefault="00440BE4" w:rsidP="000B566B">
      <w:pPr>
        <w:widowControl w:val="0"/>
        <w:autoSpaceDE w:val="0"/>
        <w:autoSpaceDN w:val="0"/>
        <w:adjustRightInd w:val="0"/>
        <w:spacing w:after="0" w:line="240" w:lineRule="auto"/>
        <w:rPr>
          <w:rFonts w:cstheme="minorHAnsi"/>
          <w:bCs/>
          <w:lang w:val="en"/>
        </w:rPr>
      </w:pPr>
      <w:r w:rsidRPr="00EB2FB1">
        <w:rPr>
          <w:rFonts w:cstheme="minorHAnsi"/>
          <w:b/>
          <w:bCs/>
          <w:u w:val="single"/>
          <w:lang w:val="en"/>
        </w:rPr>
        <w:t>Announcements</w:t>
      </w:r>
      <w:r w:rsidRPr="00EB2FB1">
        <w:rPr>
          <w:rFonts w:cstheme="minorHAnsi"/>
          <w:b/>
          <w:bCs/>
          <w:lang w:val="en"/>
        </w:rPr>
        <w:t>:</w:t>
      </w:r>
    </w:p>
    <w:p w:rsidR="00DF0306" w:rsidRPr="00EB2FB1" w:rsidRDefault="00DF0306" w:rsidP="00EB2FB1">
      <w:pPr>
        <w:pStyle w:val="NoSpacing"/>
        <w:numPr>
          <w:ilvl w:val="0"/>
          <w:numId w:val="31"/>
        </w:numPr>
        <w:rPr>
          <w:rFonts w:asciiTheme="minorHAnsi" w:hAnsiTheme="minorHAnsi" w:cstheme="minorHAnsi"/>
          <w:color w:val="auto"/>
          <w:sz w:val="22"/>
        </w:rPr>
      </w:pPr>
      <w:r w:rsidRPr="00EB2FB1">
        <w:rPr>
          <w:rFonts w:asciiTheme="minorHAnsi" w:hAnsiTheme="minorHAnsi" w:cstheme="minorHAnsi"/>
          <w:color w:val="auto"/>
          <w:sz w:val="22"/>
        </w:rPr>
        <w:t>Registration for BINC on May 18 to 21, full event or single days, no meals:</w:t>
      </w:r>
      <w:r w:rsidR="00EB2FB1">
        <w:rPr>
          <w:rFonts w:asciiTheme="minorHAnsi" w:hAnsiTheme="minorHAnsi" w:cstheme="minorHAnsi"/>
          <w:color w:val="auto"/>
          <w:sz w:val="22"/>
        </w:rPr>
        <w:t xml:space="preserve"> </w:t>
      </w:r>
      <w:hyperlink r:id="rId8" w:history="1">
        <w:r w:rsidRPr="00EB2FB1">
          <w:rPr>
            <w:rStyle w:val="Hyperlink"/>
            <w:rFonts w:asciiTheme="minorHAnsi" w:hAnsiTheme="minorHAnsi" w:cstheme="minorHAnsi"/>
            <w:sz w:val="22"/>
          </w:rPr>
          <w:t>https://www.eventbrite.com/e/66th-annual-betterinvesting-national-convention-tickets-25557210304?aff=es2</w:t>
        </w:r>
      </w:hyperlink>
    </w:p>
    <w:p w:rsidR="00146B28" w:rsidRPr="00EB2FB1" w:rsidRDefault="00DF0306" w:rsidP="00EB2FB1">
      <w:pPr>
        <w:pStyle w:val="ListParagraph"/>
        <w:widowControl w:val="0"/>
        <w:numPr>
          <w:ilvl w:val="0"/>
          <w:numId w:val="31"/>
        </w:numPr>
        <w:autoSpaceDE w:val="0"/>
        <w:autoSpaceDN w:val="0"/>
        <w:adjustRightInd w:val="0"/>
        <w:spacing w:after="0" w:line="240" w:lineRule="auto"/>
        <w:rPr>
          <w:rStyle w:val="Hyperlink"/>
          <w:rFonts w:cstheme="minorHAnsi"/>
          <w:b/>
          <w:bCs/>
          <w:color w:val="auto"/>
          <w:lang w:val="en"/>
        </w:rPr>
      </w:pPr>
      <w:r w:rsidRPr="00EB2FB1">
        <w:rPr>
          <w:rFonts w:cstheme="minorHAnsi"/>
        </w:rPr>
        <w:t xml:space="preserve">FREE SATURDAY at BINC, registration on </w:t>
      </w:r>
      <w:proofErr w:type="spellStart"/>
      <w:r w:rsidRPr="00EB2FB1">
        <w:rPr>
          <w:rFonts w:cstheme="minorHAnsi"/>
        </w:rPr>
        <w:t>Eventbrite</w:t>
      </w:r>
      <w:proofErr w:type="spellEnd"/>
      <w:r w:rsidRPr="00EB2FB1">
        <w:rPr>
          <w:rFonts w:cstheme="minorHAnsi"/>
        </w:rPr>
        <w:t xml:space="preserve">: </w:t>
      </w:r>
      <w:hyperlink r:id="rId9" w:history="1">
        <w:r w:rsidRPr="00EB2FB1">
          <w:rPr>
            <w:rStyle w:val="Hyperlink"/>
            <w:rFonts w:cstheme="minorHAnsi"/>
          </w:rPr>
          <w:t>https://www.eventbrite.com/e/betterinvesting-national-convention-2017-free-public-day--tickets-32928498024?aff=es2</w:t>
        </w:r>
      </w:hyperlink>
    </w:p>
    <w:p w:rsidR="00EB2FB1" w:rsidRPr="00EB2FB1" w:rsidRDefault="00EB2FB1" w:rsidP="00EB2FB1">
      <w:pPr>
        <w:pStyle w:val="ListParagraph"/>
        <w:widowControl w:val="0"/>
        <w:numPr>
          <w:ilvl w:val="0"/>
          <w:numId w:val="31"/>
        </w:numPr>
        <w:autoSpaceDE w:val="0"/>
        <w:autoSpaceDN w:val="0"/>
        <w:adjustRightInd w:val="0"/>
        <w:spacing w:after="0" w:line="240" w:lineRule="auto"/>
        <w:rPr>
          <w:rFonts w:cstheme="minorHAnsi"/>
          <w:b/>
          <w:bCs/>
          <w:u w:val="single"/>
          <w:lang w:val="en"/>
        </w:rPr>
      </w:pPr>
      <w:r>
        <w:rPr>
          <w:rFonts w:cstheme="minorHAnsi"/>
        </w:rPr>
        <w:t>April is Financial Literacy Mon</w:t>
      </w:r>
      <w:r w:rsidRPr="00EB2FB1">
        <w:rPr>
          <w:rFonts w:cstheme="minorHAnsi"/>
        </w:rPr>
        <w:t>th.</w:t>
      </w:r>
      <w:r w:rsidRPr="00EB2FB1">
        <w:rPr>
          <w:rFonts w:cstheme="minorHAnsi"/>
          <w:bCs/>
          <w:lang w:val="en"/>
        </w:rPr>
        <w:t xml:space="preserve"> The Bank of Chicago is sponsoring Smart Money Week</w:t>
      </w:r>
    </w:p>
    <w:p w:rsidR="00EB2FB1" w:rsidRPr="00EB2FB1" w:rsidRDefault="00EB2FB1" w:rsidP="00EB2FB1">
      <w:pPr>
        <w:pStyle w:val="ListParagraph"/>
        <w:widowControl w:val="0"/>
        <w:numPr>
          <w:ilvl w:val="0"/>
          <w:numId w:val="31"/>
        </w:numPr>
        <w:autoSpaceDE w:val="0"/>
        <w:autoSpaceDN w:val="0"/>
        <w:adjustRightInd w:val="0"/>
        <w:spacing w:after="0" w:line="240" w:lineRule="auto"/>
        <w:rPr>
          <w:rFonts w:cstheme="minorHAnsi"/>
          <w:b/>
          <w:bCs/>
          <w:u w:val="single"/>
          <w:lang w:val="en"/>
        </w:rPr>
      </w:pPr>
      <w:r>
        <w:rPr>
          <w:rFonts w:cstheme="minorHAnsi"/>
          <w:bCs/>
          <w:lang w:val="en"/>
        </w:rPr>
        <w:t xml:space="preserve">Dene will be presenting a public session using the </w:t>
      </w:r>
      <w:proofErr w:type="spellStart"/>
      <w:r>
        <w:rPr>
          <w:rFonts w:cstheme="minorHAnsi"/>
          <w:bCs/>
          <w:lang w:val="en"/>
        </w:rPr>
        <w:t>Midpointe</w:t>
      </w:r>
      <w:proofErr w:type="spellEnd"/>
      <w:r>
        <w:rPr>
          <w:rFonts w:cstheme="minorHAnsi"/>
          <w:bCs/>
          <w:lang w:val="en"/>
        </w:rPr>
        <w:t xml:space="preserve"> Library’s on-line financial data base resources on Tue, Apr 25, at 7:00p</w:t>
      </w:r>
    </w:p>
    <w:p w:rsidR="0001642D" w:rsidRPr="00EB2FB1" w:rsidRDefault="00EB2FB1" w:rsidP="00BA0662">
      <w:pPr>
        <w:pStyle w:val="ListParagraph"/>
        <w:widowControl w:val="0"/>
        <w:numPr>
          <w:ilvl w:val="0"/>
          <w:numId w:val="31"/>
        </w:numPr>
        <w:autoSpaceDE w:val="0"/>
        <w:autoSpaceDN w:val="0"/>
        <w:adjustRightInd w:val="0"/>
        <w:spacing w:after="0" w:line="240" w:lineRule="auto"/>
        <w:rPr>
          <w:rFonts w:cstheme="minorHAnsi"/>
          <w:b/>
          <w:bCs/>
          <w:u w:val="single"/>
          <w:lang w:val="en"/>
        </w:rPr>
      </w:pPr>
      <w:r w:rsidRPr="00EB2FB1">
        <w:rPr>
          <w:rFonts w:cstheme="minorHAnsi"/>
          <w:bCs/>
          <w:lang w:val="en"/>
        </w:rPr>
        <w:t xml:space="preserve">Members discussed various library’s on-line resources – </w:t>
      </w:r>
      <w:proofErr w:type="spellStart"/>
      <w:r w:rsidRPr="00EB2FB1">
        <w:rPr>
          <w:rFonts w:cstheme="minorHAnsi"/>
          <w:bCs/>
          <w:lang w:val="en"/>
        </w:rPr>
        <w:t>Midpointe</w:t>
      </w:r>
      <w:proofErr w:type="spellEnd"/>
      <w:r w:rsidRPr="00EB2FB1">
        <w:rPr>
          <w:rFonts w:cstheme="minorHAnsi"/>
          <w:bCs/>
          <w:lang w:val="en"/>
        </w:rPr>
        <w:t xml:space="preserve"> for Morningstar and Value Line, Lane for </w:t>
      </w:r>
      <w:r w:rsidR="00EC7420">
        <w:rPr>
          <w:rFonts w:cstheme="minorHAnsi"/>
          <w:bCs/>
          <w:lang w:val="en"/>
        </w:rPr>
        <w:t>those two plus</w:t>
      </w:r>
      <w:bookmarkStart w:id="0" w:name="_GoBack"/>
      <w:bookmarkEnd w:id="0"/>
      <w:r w:rsidR="00EC7420">
        <w:rPr>
          <w:rFonts w:cstheme="minorHAnsi"/>
          <w:bCs/>
          <w:lang w:val="en"/>
        </w:rPr>
        <w:t xml:space="preserve"> </w:t>
      </w:r>
      <w:r w:rsidRPr="00EB2FB1">
        <w:rPr>
          <w:rFonts w:cstheme="minorHAnsi"/>
          <w:bCs/>
          <w:lang w:val="en"/>
        </w:rPr>
        <w:t>S&amp;P Advantage</w:t>
      </w:r>
    </w:p>
    <w:p w:rsidR="00A94FD5" w:rsidRDefault="00A94FD5" w:rsidP="001866F5">
      <w:pPr>
        <w:widowControl w:val="0"/>
        <w:autoSpaceDE w:val="0"/>
        <w:autoSpaceDN w:val="0"/>
        <w:adjustRightInd w:val="0"/>
        <w:spacing w:after="0" w:line="240" w:lineRule="auto"/>
        <w:rPr>
          <w:b/>
          <w:bCs/>
          <w:u w:val="single"/>
          <w:lang w:val="en"/>
        </w:rPr>
      </w:pPr>
    </w:p>
    <w:p w:rsidR="00142072" w:rsidRDefault="00440BE4" w:rsidP="001866F5">
      <w:pPr>
        <w:widowControl w:val="0"/>
        <w:autoSpaceDE w:val="0"/>
        <w:autoSpaceDN w:val="0"/>
        <w:adjustRightInd w:val="0"/>
        <w:spacing w:after="0" w:line="240" w:lineRule="auto"/>
        <w:rPr>
          <w:b/>
          <w:bCs/>
          <w:u w:val="single"/>
          <w:lang w:val="en"/>
        </w:rPr>
      </w:pPr>
      <w:r w:rsidRPr="001866F5">
        <w:rPr>
          <w:b/>
          <w:bCs/>
          <w:u w:val="single"/>
          <w:lang w:val="en"/>
        </w:rPr>
        <w:t>Old Business:</w:t>
      </w:r>
      <w:r w:rsidR="0014761F">
        <w:rPr>
          <w:lang w:val="en"/>
        </w:rPr>
        <w:t xml:space="preserve"> </w:t>
      </w:r>
    </w:p>
    <w:p w:rsidR="002C0F69" w:rsidRPr="002C0F69" w:rsidRDefault="002C0F69" w:rsidP="00801258">
      <w:pPr>
        <w:pStyle w:val="ListParagraph"/>
        <w:widowControl w:val="0"/>
        <w:numPr>
          <w:ilvl w:val="0"/>
          <w:numId w:val="27"/>
        </w:numPr>
        <w:autoSpaceDE w:val="0"/>
        <w:autoSpaceDN w:val="0"/>
        <w:adjustRightInd w:val="0"/>
        <w:spacing w:after="0" w:line="240" w:lineRule="auto"/>
        <w:rPr>
          <w:bCs/>
          <w:lang w:val="en"/>
        </w:rPr>
      </w:pPr>
      <w:proofErr w:type="spellStart"/>
      <w:r>
        <w:rPr>
          <w:bCs/>
          <w:lang w:val="en"/>
        </w:rPr>
        <w:t>CinMIC</w:t>
      </w:r>
      <w:proofErr w:type="spellEnd"/>
      <w:r>
        <w:rPr>
          <w:bCs/>
          <w:lang w:val="en"/>
        </w:rPr>
        <w:t xml:space="preserve"> will celebrate its 15</w:t>
      </w:r>
      <w:r w:rsidRPr="002C0F69">
        <w:rPr>
          <w:bCs/>
          <w:vertAlign w:val="superscript"/>
          <w:lang w:val="en"/>
        </w:rPr>
        <w:t>th</w:t>
      </w:r>
      <w:r>
        <w:rPr>
          <w:bCs/>
          <w:lang w:val="en"/>
        </w:rPr>
        <w:t xml:space="preserve"> anniversary in October. Latisha</w:t>
      </w:r>
      <w:r w:rsidR="00A94FD5">
        <w:rPr>
          <w:bCs/>
          <w:lang w:val="en"/>
        </w:rPr>
        <w:t>, Michele</w:t>
      </w:r>
      <w:r>
        <w:rPr>
          <w:bCs/>
          <w:lang w:val="en"/>
        </w:rPr>
        <w:t xml:space="preserve"> and Jackie will </w:t>
      </w:r>
      <w:r w:rsidR="00A94FD5">
        <w:rPr>
          <w:bCs/>
          <w:lang w:val="en"/>
        </w:rPr>
        <w:t>meet to di</w:t>
      </w:r>
      <w:r w:rsidR="008511CF">
        <w:rPr>
          <w:bCs/>
          <w:lang w:val="en"/>
        </w:rPr>
        <w:t>s</w:t>
      </w:r>
      <w:r w:rsidR="00A94FD5">
        <w:rPr>
          <w:bCs/>
          <w:lang w:val="en"/>
        </w:rPr>
        <w:t>cuss and propose a format</w:t>
      </w:r>
      <w:r>
        <w:rPr>
          <w:bCs/>
          <w:lang w:val="en"/>
        </w:rPr>
        <w:t>.</w:t>
      </w:r>
    </w:p>
    <w:p w:rsidR="00A94FD5" w:rsidRPr="00A94FD5" w:rsidRDefault="00A94FD5" w:rsidP="00A94FD5">
      <w:pPr>
        <w:pStyle w:val="ListParagraph"/>
        <w:widowControl w:val="0"/>
        <w:numPr>
          <w:ilvl w:val="0"/>
          <w:numId w:val="27"/>
        </w:numPr>
        <w:autoSpaceDE w:val="0"/>
        <w:autoSpaceDN w:val="0"/>
        <w:adjustRightInd w:val="0"/>
        <w:spacing w:after="0" w:line="240" w:lineRule="auto"/>
      </w:pPr>
      <w:r w:rsidRPr="00EB2FB1">
        <w:rPr>
          <w:rFonts w:cstheme="minorHAnsi"/>
          <w:bCs/>
          <w:lang w:val="en"/>
        </w:rPr>
        <w:t xml:space="preserve">Craig read a statement summarizing some member’s opinions about recent events: </w:t>
      </w:r>
    </w:p>
    <w:p w:rsidR="00A94FD5" w:rsidRDefault="00A94FD5" w:rsidP="00A94FD5">
      <w:pPr>
        <w:widowControl w:val="0"/>
        <w:autoSpaceDE w:val="0"/>
        <w:autoSpaceDN w:val="0"/>
        <w:adjustRightInd w:val="0"/>
        <w:spacing w:after="120" w:line="240" w:lineRule="auto"/>
        <w:ind w:left="1440"/>
      </w:pPr>
      <w:r w:rsidRPr="00A94FD5">
        <w:rPr>
          <w:rFonts w:cstheme="minorHAnsi"/>
          <w:bCs/>
          <w:lang w:val="en"/>
        </w:rPr>
        <w:t>“</w:t>
      </w:r>
      <w:r>
        <w:t xml:space="preserve">We recently experienced a situation of one partner's ignorance of the Partnership Agreement and Operating Procedures. One result of this was the resignation of a valuable partner. The partnership cannot afford losses like these. </w:t>
      </w:r>
    </w:p>
    <w:p w:rsidR="00A94FD5" w:rsidRDefault="00A94FD5" w:rsidP="00A94FD5">
      <w:pPr>
        <w:widowControl w:val="0"/>
        <w:autoSpaceDE w:val="0"/>
        <w:autoSpaceDN w:val="0"/>
        <w:adjustRightInd w:val="0"/>
        <w:spacing w:after="120" w:line="240" w:lineRule="auto"/>
        <w:ind w:left="1440"/>
      </w:pPr>
      <w:r>
        <w:t xml:space="preserve">It is the responsibility of each partner to know and abide by these documents. If a partner does not understand something in those documents he/she must take the initiative to find the answers. To not </w:t>
      </w:r>
      <w:r>
        <w:lastRenderedPageBreak/>
        <w:t xml:space="preserve">do so, would create a question to one's commitment to the Partnership. No excuses should be accepted. </w:t>
      </w:r>
    </w:p>
    <w:p w:rsidR="00A94FD5" w:rsidRDefault="00A94FD5" w:rsidP="00A94FD5">
      <w:pPr>
        <w:widowControl w:val="0"/>
        <w:autoSpaceDE w:val="0"/>
        <w:autoSpaceDN w:val="0"/>
        <w:adjustRightInd w:val="0"/>
        <w:spacing w:after="0" w:line="240" w:lineRule="auto"/>
        <w:ind w:left="1440"/>
      </w:pPr>
      <w:r>
        <w:t xml:space="preserve">Each of us is helping to manage </w:t>
      </w:r>
      <w:proofErr w:type="spellStart"/>
      <w:r>
        <w:t>each others'</w:t>
      </w:r>
      <w:proofErr w:type="spellEnd"/>
      <w:r>
        <w:t xml:space="preserve"> money. Everyone needs to do that in a responsible and fiduciary manner. This includes attending meetings, submitting monthly stock reports on time, disseminating stock study data timely, paying required dues and actively participating in meetings.”</w:t>
      </w:r>
    </w:p>
    <w:p w:rsidR="00146B28" w:rsidRDefault="00146B28" w:rsidP="001866F5">
      <w:pPr>
        <w:widowControl w:val="0"/>
        <w:autoSpaceDE w:val="0"/>
        <w:autoSpaceDN w:val="0"/>
        <w:adjustRightInd w:val="0"/>
        <w:spacing w:after="0" w:line="240" w:lineRule="auto"/>
        <w:rPr>
          <w:b/>
          <w:bCs/>
          <w:u w:val="single"/>
          <w:lang w:val="en"/>
        </w:rPr>
      </w:pPr>
    </w:p>
    <w:p w:rsidR="00440BE4"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146B28" w:rsidRPr="00A94FD5" w:rsidRDefault="00DF0306" w:rsidP="00DB4575">
      <w:pPr>
        <w:pStyle w:val="ListParagraph"/>
        <w:widowControl w:val="0"/>
        <w:numPr>
          <w:ilvl w:val="0"/>
          <w:numId w:val="27"/>
        </w:numPr>
        <w:tabs>
          <w:tab w:val="left" w:pos="994"/>
        </w:tabs>
        <w:autoSpaceDE w:val="0"/>
        <w:autoSpaceDN w:val="0"/>
        <w:adjustRightInd w:val="0"/>
        <w:spacing w:after="0" w:line="240" w:lineRule="auto"/>
        <w:rPr>
          <w:bCs/>
          <w:lang w:val="en"/>
        </w:rPr>
      </w:pPr>
      <w:r>
        <w:t>Richard Alden’s status change</w:t>
      </w:r>
      <w:r w:rsidR="00A94FD5">
        <w:t>d</w:t>
      </w:r>
      <w:r>
        <w:t xml:space="preserve"> from Associate to Primary Partner</w:t>
      </w:r>
      <w:r w:rsidR="00A94FD5">
        <w:t xml:space="preserve"> as he had joined the BI Chapter board as a volunteer.</w:t>
      </w:r>
      <w:r w:rsidR="008511CF">
        <w:t xml:space="preserve"> This will fulfill the partnership requirement for primary membership (7 to 10 of club total) with Cliff’s withdraw</w:t>
      </w:r>
      <w:r w:rsidR="0044305D">
        <w:t>a</w:t>
      </w:r>
      <w:r w:rsidR="008511CF">
        <w:t>l.</w:t>
      </w:r>
    </w:p>
    <w:p w:rsidR="00A94FD5" w:rsidRDefault="00A94FD5" w:rsidP="004412F0">
      <w:pPr>
        <w:widowControl w:val="0"/>
        <w:tabs>
          <w:tab w:val="left" w:pos="994"/>
        </w:tabs>
        <w:autoSpaceDE w:val="0"/>
        <w:autoSpaceDN w:val="0"/>
        <w:adjustRightInd w:val="0"/>
        <w:spacing w:after="0" w:line="240" w:lineRule="auto"/>
        <w:rPr>
          <w:b/>
          <w:bCs/>
          <w:u w:val="single"/>
          <w:lang w:val="en"/>
        </w:rPr>
      </w:pPr>
    </w:p>
    <w:p w:rsidR="004412F0" w:rsidRDefault="004412F0" w:rsidP="004412F0">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Pr="000602F2">
        <w:rPr>
          <w:bCs/>
          <w:lang w:val="en"/>
        </w:rPr>
        <w:t xml:space="preserve"> </w:t>
      </w:r>
    </w:p>
    <w:p w:rsidR="00A94FD5" w:rsidRDefault="00A94FD5" w:rsidP="00A94FD5">
      <w:pPr>
        <w:pStyle w:val="ListParagraph"/>
        <w:widowControl w:val="0"/>
        <w:numPr>
          <w:ilvl w:val="0"/>
          <w:numId w:val="27"/>
        </w:numPr>
        <w:tabs>
          <w:tab w:val="left" w:pos="994"/>
        </w:tabs>
        <w:autoSpaceDE w:val="0"/>
        <w:autoSpaceDN w:val="0"/>
        <w:adjustRightInd w:val="0"/>
        <w:spacing w:after="0" w:line="240" w:lineRule="auto"/>
        <w:rPr>
          <w:bCs/>
          <w:lang w:val="en"/>
        </w:rPr>
      </w:pPr>
      <w:r>
        <w:rPr>
          <w:bCs/>
          <w:lang w:val="en"/>
        </w:rPr>
        <w:t xml:space="preserve">Dene and Marty suggested various methods for capturing web page data and incorporating it into stock watcher updates and other presentations. </w:t>
      </w:r>
      <w:proofErr w:type="spellStart"/>
      <w:r>
        <w:rPr>
          <w:bCs/>
          <w:lang w:val="en"/>
        </w:rPr>
        <w:t>Snagit</w:t>
      </w:r>
      <w:proofErr w:type="spellEnd"/>
      <w:r>
        <w:rPr>
          <w:bCs/>
          <w:lang w:val="en"/>
        </w:rPr>
        <w:t xml:space="preserve"> </w:t>
      </w:r>
      <w:r w:rsidR="00EC7420">
        <w:rPr>
          <w:bCs/>
          <w:lang w:val="en"/>
        </w:rPr>
        <w:t>(free to try, then $49.95</w:t>
      </w:r>
      <w:r>
        <w:rPr>
          <w:bCs/>
          <w:lang w:val="en"/>
        </w:rPr>
        <w:t xml:space="preserve">) and </w:t>
      </w:r>
      <w:proofErr w:type="spellStart"/>
      <w:r>
        <w:rPr>
          <w:bCs/>
          <w:lang w:val="en"/>
        </w:rPr>
        <w:t>Snipit</w:t>
      </w:r>
      <w:proofErr w:type="spellEnd"/>
      <w:r>
        <w:rPr>
          <w:bCs/>
          <w:lang w:val="en"/>
        </w:rPr>
        <w:t xml:space="preserve"> (</w:t>
      </w:r>
      <w:r w:rsidR="00EC7420">
        <w:rPr>
          <w:bCs/>
          <w:lang w:val="en"/>
        </w:rPr>
        <w:t xml:space="preserve">included in </w:t>
      </w:r>
      <w:r>
        <w:rPr>
          <w:bCs/>
          <w:lang w:val="en"/>
        </w:rPr>
        <w:t>Win 7 &amp; 10)</w:t>
      </w:r>
      <w:r w:rsidR="002268FB">
        <w:rPr>
          <w:bCs/>
          <w:lang w:val="en"/>
        </w:rPr>
        <w:t xml:space="preserve">. Both </w:t>
      </w:r>
      <w:r w:rsidR="00EC7420">
        <w:rPr>
          <w:bCs/>
          <w:lang w:val="en"/>
        </w:rPr>
        <w:t>apps allow the user to capture</w:t>
      </w:r>
      <w:r w:rsidR="002268FB">
        <w:rPr>
          <w:bCs/>
          <w:lang w:val="en"/>
        </w:rPr>
        <w:t xml:space="preserve"> and save data as a jpeg, </w:t>
      </w:r>
      <w:r w:rsidR="00EC7420">
        <w:rPr>
          <w:bCs/>
          <w:lang w:val="en"/>
        </w:rPr>
        <w:t xml:space="preserve">then </w:t>
      </w:r>
      <w:r w:rsidR="002268FB">
        <w:rPr>
          <w:bCs/>
          <w:lang w:val="en"/>
        </w:rPr>
        <w:t>us</w:t>
      </w:r>
      <w:r w:rsidR="00EC7420">
        <w:rPr>
          <w:bCs/>
          <w:lang w:val="en"/>
        </w:rPr>
        <w:t>e</w:t>
      </w:r>
      <w:r w:rsidR="002268FB">
        <w:rPr>
          <w:bCs/>
          <w:lang w:val="en"/>
        </w:rPr>
        <w:t xml:space="preserve"> photo editing tools to highlight and resize the image as needed. The </w:t>
      </w:r>
      <w:proofErr w:type="spellStart"/>
      <w:r w:rsidR="002268FB" w:rsidRPr="00EC7420">
        <w:rPr>
          <w:bCs/>
          <w:i/>
          <w:lang w:val="en"/>
        </w:rPr>
        <w:t>bivio</w:t>
      </w:r>
      <w:proofErr w:type="spellEnd"/>
      <w:r w:rsidR="002268FB">
        <w:rPr>
          <w:bCs/>
          <w:lang w:val="en"/>
        </w:rPr>
        <w:t xml:space="preserve"> financial report “Lot Cost Basis” was used as an example. Tabular data from </w:t>
      </w:r>
      <w:proofErr w:type="spellStart"/>
      <w:r w:rsidR="002268FB" w:rsidRPr="00EC7420">
        <w:rPr>
          <w:bCs/>
          <w:i/>
          <w:lang w:val="en"/>
        </w:rPr>
        <w:t>bivio</w:t>
      </w:r>
      <w:proofErr w:type="spellEnd"/>
      <w:r w:rsidR="002268FB">
        <w:rPr>
          <w:bCs/>
          <w:lang w:val="en"/>
        </w:rPr>
        <w:t xml:space="preserve"> and other sources can</w:t>
      </w:r>
      <w:r w:rsidR="00EC7420">
        <w:rPr>
          <w:bCs/>
          <w:lang w:val="en"/>
        </w:rPr>
        <w:t xml:space="preserve"> often</w:t>
      </w:r>
      <w:r w:rsidR="002268FB">
        <w:rPr>
          <w:bCs/>
          <w:lang w:val="en"/>
        </w:rPr>
        <w:t xml:space="preserve"> be copy/pasted in</w:t>
      </w:r>
      <w:r w:rsidR="00EC7420">
        <w:rPr>
          <w:bCs/>
          <w:lang w:val="en"/>
        </w:rPr>
        <w:t>to</w:t>
      </w:r>
      <w:r w:rsidR="002268FB">
        <w:rPr>
          <w:bCs/>
          <w:lang w:val="en"/>
        </w:rPr>
        <w:t xml:space="preserve"> spreadsheets</w:t>
      </w:r>
      <w:r w:rsidR="00F35F29">
        <w:rPr>
          <w:bCs/>
          <w:lang w:val="en"/>
        </w:rPr>
        <w:t xml:space="preserve"> or word docs</w:t>
      </w:r>
    </w:p>
    <w:p w:rsidR="002268FB" w:rsidRDefault="002268FB" w:rsidP="00A94FD5">
      <w:pPr>
        <w:pStyle w:val="ListParagraph"/>
        <w:widowControl w:val="0"/>
        <w:numPr>
          <w:ilvl w:val="0"/>
          <w:numId w:val="27"/>
        </w:numPr>
        <w:tabs>
          <w:tab w:val="left" w:pos="994"/>
        </w:tabs>
        <w:autoSpaceDE w:val="0"/>
        <w:autoSpaceDN w:val="0"/>
        <w:adjustRightInd w:val="0"/>
        <w:spacing w:after="0" w:line="240" w:lineRule="auto"/>
        <w:rPr>
          <w:bCs/>
          <w:lang w:val="en"/>
        </w:rPr>
      </w:pPr>
      <w:r>
        <w:rPr>
          <w:bCs/>
          <w:lang w:val="en"/>
        </w:rPr>
        <w:t>Members were requested to distribute their SSGs a</w:t>
      </w:r>
      <w:r w:rsidR="00F35F29">
        <w:rPr>
          <w:bCs/>
          <w:lang w:val="en"/>
        </w:rPr>
        <w:t>s pdfs as most members</w:t>
      </w:r>
      <w:r>
        <w:rPr>
          <w:bCs/>
          <w:lang w:val="en"/>
        </w:rPr>
        <w:t xml:space="preserve"> use SSG+, not Toolkit. Members were also shown how to send an SSG+ study to other members should they want to use them for their own studies.</w:t>
      </w:r>
    </w:p>
    <w:p w:rsidR="0001642D" w:rsidRPr="002268FB" w:rsidRDefault="002268FB" w:rsidP="003C7805">
      <w:pPr>
        <w:pStyle w:val="ListParagraph"/>
        <w:widowControl w:val="0"/>
        <w:numPr>
          <w:ilvl w:val="0"/>
          <w:numId w:val="27"/>
        </w:numPr>
        <w:tabs>
          <w:tab w:val="left" w:pos="994"/>
        </w:tabs>
        <w:autoSpaceDE w:val="0"/>
        <w:autoSpaceDN w:val="0"/>
        <w:adjustRightInd w:val="0"/>
        <w:spacing w:after="0" w:line="240" w:lineRule="auto"/>
        <w:rPr>
          <w:bCs/>
          <w:lang w:val="en"/>
        </w:rPr>
      </w:pPr>
      <w:r w:rsidRPr="002268FB">
        <w:rPr>
          <w:bCs/>
          <w:lang w:val="en"/>
        </w:rPr>
        <w:t>We viewed the BI Stock Up webcast “</w:t>
      </w:r>
      <w:proofErr w:type="gramStart"/>
      <w:r w:rsidR="009517C5">
        <w:t>Your</w:t>
      </w:r>
      <w:proofErr w:type="gramEnd"/>
      <w:r w:rsidR="009517C5">
        <w:t xml:space="preserve"> SSG and the Income Statement, Part II</w:t>
      </w:r>
      <w:r w:rsidRPr="002268FB">
        <w:t>”</w:t>
      </w:r>
      <w:r>
        <w:t>. Attention was again drawn to the convergence/divergence of the sales and profitability lines on the first tab as a quick means of identifying trends and detecting unusual events. RPM International, a specialty coatings and sealants manufacturer and friend of BI, was used as the example.</w:t>
      </w:r>
    </w:p>
    <w:p w:rsidR="00333048" w:rsidRDefault="00333048" w:rsidP="004412F0">
      <w:pPr>
        <w:widowControl w:val="0"/>
        <w:tabs>
          <w:tab w:val="left" w:pos="994"/>
        </w:tabs>
        <w:autoSpaceDE w:val="0"/>
        <w:autoSpaceDN w:val="0"/>
        <w:adjustRightInd w:val="0"/>
        <w:spacing w:after="0" w:line="240" w:lineRule="auto"/>
        <w:rPr>
          <w:bCs/>
          <w:lang w:val="en"/>
        </w:rPr>
      </w:pPr>
    </w:p>
    <w:p w:rsidR="00DF0306" w:rsidRDefault="00DF0306" w:rsidP="00DF0306">
      <w:pPr>
        <w:widowControl w:val="0"/>
        <w:autoSpaceDE w:val="0"/>
        <w:autoSpaceDN w:val="0"/>
        <w:adjustRightInd w:val="0"/>
        <w:spacing w:after="0" w:line="240" w:lineRule="auto"/>
      </w:pPr>
      <w:r w:rsidRPr="000602F2">
        <w:rPr>
          <w:b/>
          <w:bCs/>
          <w:u w:val="single"/>
          <w:lang w:val="en"/>
        </w:rPr>
        <w:t>New Stock Presentation</w:t>
      </w:r>
      <w:r w:rsidRPr="000602F2">
        <w:rPr>
          <w:b/>
          <w:bCs/>
          <w:lang w:val="en"/>
        </w:rPr>
        <w:t>:</w:t>
      </w:r>
      <w:r>
        <w:rPr>
          <w:bCs/>
          <w:lang w:val="en"/>
        </w:rPr>
        <w:t xml:space="preserve"> </w:t>
      </w:r>
      <w:r>
        <w:t xml:space="preserve">Jackie </w:t>
      </w:r>
      <w:proofErr w:type="spellStart"/>
      <w:r>
        <w:t>Koski</w:t>
      </w:r>
      <w:proofErr w:type="spellEnd"/>
      <w:r>
        <w:t>: Berkshire Hathaway Inc. and Warren Buffett, stuff of myth and legend?</w:t>
      </w:r>
    </w:p>
    <w:p w:rsidR="007D3E56" w:rsidRDefault="007D3E56" w:rsidP="007D3E56">
      <w:pPr>
        <w:pStyle w:val="ListParagraph"/>
        <w:widowControl w:val="0"/>
        <w:numPr>
          <w:ilvl w:val="0"/>
          <w:numId w:val="32"/>
        </w:numPr>
        <w:autoSpaceDE w:val="0"/>
        <w:autoSpaceDN w:val="0"/>
        <w:adjustRightInd w:val="0"/>
        <w:spacing w:after="0" w:line="240" w:lineRule="auto"/>
        <w:rPr>
          <w:bCs/>
          <w:lang w:val="en"/>
        </w:rPr>
      </w:pPr>
      <w:r>
        <w:rPr>
          <w:bCs/>
          <w:lang w:val="en"/>
        </w:rPr>
        <w:t>High quality diversified growth company with multiple well-known acquisitions</w:t>
      </w:r>
    </w:p>
    <w:p w:rsidR="007D3E56" w:rsidRDefault="007D3E56" w:rsidP="007D3E56">
      <w:pPr>
        <w:pStyle w:val="ListParagraph"/>
        <w:widowControl w:val="0"/>
        <w:numPr>
          <w:ilvl w:val="0"/>
          <w:numId w:val="32"/>
        </w:numPr>
        <w:autoSpaceDE w:val="0"/>
        <w:autoSpaceDN w:val="0"/>
        <w:adjustRightInd w:val="0"/>
        <w:spacing w:after="0" w:line="240" w:lineRule="auto"/>
        <w:rPr>
          <w:bCs/>
          <w:lang w:val="en"/>
        </w:rPr>
      </w:pPr>
      <w:r>
        <w:rPr>
          <w:bCs/>
          <w:lang w:val="en"/>
        </w:rPr>
        <w:t xml:space="preserve">Warren Buffet and Charlie </w:t>
      </w:r>
      <w:proofErr w:type="spellStart"/>
      <w:r>
        <w:rPr>
          <w:bCs/>
          <w:lang w:val="en"/>
        </w:rPr>
        <w:t>Munger</w:t>
      </w:r>
      <w:proofErr w:type="spellEnd"/>
      <w:r>
        <w:rPr>
          <w:bCs/>
          <w:lang w:val="en"/>
        </w:rPr>
        <w:t xml:space="preserve"> are iconic figures in investing and have a well-defined succession plan</w:t>
      </w:r>
    </w:p>
    <w:p w:rsidR="007D3E56" w:rsidRDefault="007D3E56" w:rsidP="007D3E56">
      <w:pPr>
        <w:pStyle w:val="ListParagraph"/>
        <w:widowControl w:val="0"/>
        <w:numPr>
          <w:ilvl w:val="0"/>
          <w:numId w:val="32"/>
        </w:numPr>
        <w:autoSpaceDE w:val="0"/>
        <w:autoSpaceDN w:val="0"/>
        <w:adjustRightInd w:val="0"/>
        <w:spacing w:after="0" w:line="240" w:lineRule="auto"/>
        <w:rPr>
          <w:bCs/>
          <w:lang w:val="en"/>
        </w:rPr>
      </w:pPr>
      <w:r>
        <w:rPr>
          <w:bCs/>
          <w:lang w:val="en"/>
        </w:rPr>
        <w:t xml:space="preserve">Stock has more than doubled in the past five years </w:t>
      </w:r>
    </w:p>
    <w:p w:rsidR="007D3E56" w:rsidRDefault="007D3E56" w:rsidP="007D3E56">
      <w:pPr>
        <w:pStyle w:val="ListParagraph"/>
        <w:widowControl w:val="0"/>
        <w:numPr>
          <w:ilvl w:val="0"/>
          <w:numId w:val="32"/>
        </w:numPr>
        <w:autoSpaceDE w:val="0"/>
        <w:autoSpaceDN w:val="0"/>
        <w:adjustRightInd w:val="0"/>
        <w:spacing w:after="0" w:line="240" w:lineRule="auto"/>
        <w:rPr>
          <w:bCs/>
          <w:lang w:val="en"/>
        </w:rPr>
      </w:pPr>
      <w:r>
        <w:rPr>
          <w:bCs/>
          <w:lang w:val="en"/>
        </w:rPr>
        <w:t>Classed as an insurance company but has 60 other holdings and partial investments</w:t>
      </w:r>
    </w:p>
    <w:p w:rsidR="007D3E56" w:rsidRDefault="007D3E56" w:rsidP="007D3E56">
      <w:pPr>
        <w:pStyle w:val="ListParagraph"/>
        <w:widowControl w:val="0"/>
        <w:numPr>
          <w:ilvl w:val="0"/>
          <w:numId w:val="32"/>
        </w:numPr>
        <w:autoSpaceDE w:val="0"/>
        <w:autoSpaceDN w:val="0"/>
        <w:adjustRightInd w:val="0"/>
        <w:spacing w:after="0" w:line="240" w:lineRule="auto"/>
        <w:rPr>
          <w:bCs/>
          <w:lang w:val="en"/>
        </w:rPr>
      </w:pPr>
      <w:r>
        <w:rPr>
          <w:bCs/>
          <w:lang w:val="en"/>
        </w:rPr>
        <w:t>19% compound growth rate over 52 years, compared to S&amp;P’s growth rate of 9.7% over the same period</w:t>
      </w:r>
    </w:p>
    <w:p w:rsidR="00DF0306" w:rsidRDefault="007D3E56" w:rsidP="008B16F1">
      <w:pPr>
        <w:pStyle w:val="ListParagraph"/>
        <w:widowControl w:val="0"/>
        <w:numPr>
          <w:ilvl w:val="0"/>
          <w:numId w:val="32"/>
        </w:numPr>
        <w:autoSpaceDE w:val="0"/>
        <w:autoSpaceDN w:val="0"/>
        <w:adjustRightInd w:val="0"/>
        <w:spacing w:after="0" w:line="240" w:lineRule="auto"/>
        <w:rPr>
          <w:bCs/>
          <w:lang w:val="en"/>
        </w:rPr>
      </w:pPr>
      <w:r w:rsidRPr="007D3E56">
        <w:rPr>
          <w:bCs/>
          <w:lang w:val="en"/>
        </w:rPr>
        <w:t xml:space="preserve">Manifest Investing: Financial strength 96%, Quality 90, PAR 9.4% </w:t>
      </w:r>
    </w:p>
    <w:p w:rsidR="00DF0306" w:rsidRDefault="007D3E56" w:rsidP="006F1451">
      <w:pPr>
        <w:pStyle w:val="ListParagraph"/>
        <w:widowControl w:val="0"/>
        <w:numPr>
          <w:ilvl w:val="0"/>
          <w:numId w:val="32"/>
        </w:numPr>
        <w:autoSpaceDE w:val="0"/>
        <w:autoSpaceDN w:val="0"/>
        <w:adjustRightInd w:val="0"/>
        <w:spacing w:after="0" w:line="240" w:lineRule="auto"/>
        <w:rPr>
          <w:bCs/>
          <w:lang w:val="en"/>
        </w:rPr>
      </w:pPr>
      <w:r w:rsidRPr="007D3E56">
        <w:rPr>
          <w:bCs/>
          <w:lang w:val="en"/>
        </w:rPr>
        <w:t>SSG shows a low hold</w:t>
      </w:r>
    </w:p>
    <w:p w:rsidR="007D3E56" w:rsidRPr="007D3E56" w:rsidRDefault="007D3E56" w:rsidP="006F1451">
      <w:pPr>
        <w:pStyle w:val="ListParagraph"/>
        <w:widowControl w:val="0"/>
        <w:numPr>
          <w:ilvl w:val="0"/>
          <w:numId w:val="32"/>
        </w:numPr>
        <w:autoSpaceDE w:val="0"/>
        <w:autoSpaceDN w:val="0"/>
        <w:adjustRightInd w:val="0"/>
        <w:spacing w:after="0" w:line="240" w:lineRule="auto"/>
        <w:rPr>
          <w:bCs/>
          <w:lang w:val="en"/>
        </w:rPr>
      </w:pPr>
      <w:r>
        <w:rPr>
          <w:bCs/>
          <w:lang w:val="en"/>
        </w:rPr>
        <w:t xml:space="preserve">Members </w:t>
      </w:r>
      <w:r w:rsidR="00EA2B60">
        <w:rPr>
          <w:bCs/>
          <w:lang w:val="en"/>
        </w:rPr>
        <w:t xml:space="preserve">are </w:t>
      </w:r>
      <w:r>
        <w:rPr>
          <w:bCs/>
          <w:lang w:val="en"/>
        </w:rPr>
        <w:t>encouraged to research “Becoming Warren Buffet”,</w:t>
      </w:r>
      <w:r w:rsidR="00EA2B60">
        <w:rPr>
          <w:bCs/>
          <w:lang w:val="en"/>
        </w:rPr>
        <w:t xml:space="preserve"> BRK-Bs Letter to Shareholders, and the Annual Shareholder’s Meeting in Omaha</w:t>
      </w:r>
    </w:p>
    <w:p w:rsidR="00DF0306" w:rsidRDefault="00DF0306" w:rsidP="00DF0306">
      <w:pPr>
        <w:widowControl w:val="0"/>
        <w:autoSpaceDE w:val="0"/>
        <w:autoSpaceDN w:val="0"/>
        <w:adjustRightInd w:val="0"/>
        <w:spacing w:after="0" w:line="240" w:lineRule="auto"/>
        <w:rPr>
          <w:b/>
          <w:bCs/>
          <w:u w:val="single"/>
          <w:lang w:val="en"/>
        </w:rPr>
      </w:pPr>
    </w:p>
    <w:p w:rsidR="002B69FE" w:rsidRPr="009517C5" w:rsidRDefault="00440BE4" w:rsidP="00A53EB2">
      <w:pPr>
        <w:widowControl w:val="0"/>
        <w:autoSpaceDE w:val="0"/>
        <w:autoSpaceDN w:val="0"/>
        <w:adjustRightInd w:val="0"/>
        <w:spacing w:after="0" w:line="240" w:lineRule="auto"/>
        <w:rPr>
          <w:rFonts w:cstheme="minorHAnsi"/>
          <w:lang w:val="en"/>
        </w:rPr>
      </w:pPr>
      <w:r w:rsidRPr="009517C5">
        <w:rPr>
          <w:rFonts w:cstheme="minorHAnsi"/>
          <w:b/>
          <w:bCs/>
          <w:u w:val="single"/>
          <w:lang w:val="en"/>
        </w:rPr>
        <w:t>Portfolio Review:</w:t>
      </w:r>
      <w:r w:rsidRPr="009517C5">
        <w:rPr>
          <w:rFonts w:cstheme="minorHAnsi"/>
          <w:lang w:val="en"/>
        </w:rPr>
        <w:t xml:space="preserve"> </w:t>
      </w:r>
    </w:p>
    <w:p w:rsidR="009517C5" w:rsidRPr="009517C5" w:rsidRDefault="009517C5" w:rsidP="009517C5">
      <w:pPr>
        <w:pStyle w:val="NoSpacing"/>
        <w:numPr>
          <w:ilvl w:val="0"/>
          <w:numId w:val="33"/>
        </w:numPr>
        <w:rPr>
          <w:rFonts w:asciiTheme="minorHAnsi" w:hAnsiTheme="minorHAnsi" w:cstheme="minorHAnsi"/>
          <w:color w:val="auto"/>
          <w:sz w:val="22"/>
        </w:rPr>
      </w:pPr>
      <w:r w:rsidRPr="009517C5">
        <w:rPr>
          <w:rFonts w:asciiTheme="minorHAnsi" w:hAnsiTheme="minorHAnsi" w:cstheme="minorHAnsi"/>
          <w:color w:val="auto"/>
          <w:sz w:val="22"/>
        </w:rPr>
        <w:t>Review “Close of the Bell” Portfolio Analysis Report, PERT and Summary data.</w:t>
      </w:r>
    </w:p>
    <w:p w:rsidR="009517C5" w:rsidRPr="009517C5" w:rsidRDefault="009517C5" w:rsidP="009517C5">
      <w:pPr>
        <w:pStyle w:val="NoSpacing"/>
        <w:numPr>
          <w:ilvl w:val="0"/>
          <w:numId w:val="33"/>
        </w:numPr>
        <w:rPr>
          <w:rFonts w:asciiTheme="minorHAnsi" w:hAnsiTheme="minorHAnsi" w:cstheme="minorHAnsi"/>
          <w:color w:val="auto"/>
          <w:sz w:val="22"/>
        </w:rPr>
      </w:pPr>
      <w:r w:rsidRPr="009517C5">
        <w:rPr>
          <w:rFonts w:asciiTheme="minorHAnsi" w:hAnsiTheme="minorHAnsi" w:cstheme="minorHAnsi"/>
          <w:color w:val="auto"/>
          <w:sz w:val="22"/>
        </w:rPr>
        <w:t>Discussion on any Quarterly Reports: any major changes to SSGs and Buy/Hold/Sell recommendations.</w:t>
      </w:r>
    </w:p>
    <w:p w:rsidR="00DF0306" w:rsidRPr="009517C5" w:rsidRDefault="00DF0306" w:rsidP="00841DFD">
      <w:pPr>
        <w:pStyle w:val="ListParagraph"/>
        <w:widowControl w:val="0"/>
        <w:autoSpaceDE w:val="0"/>
        <w:autoSpaceDN w:val="0"/>
        <w:adjustRightInd w:val="0"/>
        <w:spacing w:after="0" w:line="240" w:lineRule="auto"/>
        <w:rPr>
          <w:b/>
          <w:bCs/>
          <w:u w:val="single"/>
          <w:lang w:val="en"/>
        </w:rPr>
      </w:pPr>
    </w:p>
    <w:tbl>
      <w:tblPr>
        <w:tblW w:w="10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0"/>
        <w:gridCol w:w="810"/>
        <w:gridCol w:w="900"/>
        <w:gridCol w:w="1350"/>
        <w:gridCol w:w="1350"/>
        <w:gridCol w:w="900"/>
        <w:gridCol w:w="1080"/>
        <w:gridCol w:w="900"/>
        <w:gridCol w:w="900"/>
        <w:gridCol w:w="1379"/>
      </w:tblGrid>
      <w:tr w:rsidR="00DF0306" w:rsidRPr="00D43480" w:rsidTr="00B2543F">
        <w:trPr>
          <w:trHeight w:val="556"/>
          <w:jc w:val="center"/>
        </w:trPr>
        <w:tc>
          <w:tcPr>
            <w:tcW w:w="1340" w:type="dxa"/>
            <w:shd w:val="clear" w:color="auto" w:fill="auto"/>
            <w:vAlign w:val="bottom"/>
            <w:hideMark/>
          </w:tcPr>
          <w:p w:rsidR="00DF0306" w:rsidRPr="00D43480" w:rsidRDefault="00DF0306" w:rsidP="00B2543F">
            <w:pPr>
              <w:spacing w:after="0" w:line="240" w:lineRule="auto"/>
              <w:rPr>
                <w:rFonts w:eastAsia="Times New Roman"/>
                <w:b/>
                <w:bCs/>
                <w:sz w:val="18"/>
                <w:szCs w:val="18"/>
              </w:rPr>
            </w:pPr>
            <w:r w:rsidRPr="00D43480">
              <w:rPr>
                <w:rFonts w:eastAsia="Times New Roman"/>
                <w:b/>
                <w:bCs/>
                <w:sz w:val="18"/>
                <w:szCs w:val="18"/>
              </w:rPr>
              <w:t>Stock</w:t>
            </w:r>
          </w:p>
        </w:tc>
        <w:tc>
          <w:tcPr>
            <w:tcW w:w="810" w:type="dxa"/>
            <w:shd w:val="clear" w:color="auto" w:fill="auto"/>
            <w:vAlign w:val="bottom"/>
            <w:hideMark/>
          </w:tcPr>
          <w:p w:rsidR="00DF0306" w:rsidRPr="00D43480" w:rsidRDefault="00DF0306" w:rsidP="00B2543F">
            <w:pPr>
              <w:spacing w:after="0" w:line="240" w:lineRule="auto"/>
              <w:jc w:val="center"/>
              <w:rPr>
                <w:rFonts w:eastAsia="Times New Roman"/>
                <w:b/>
                <w:bCs/>
                <w:sz w:val="18"/>
                <w:szCs w:val="18"/>
              </w:rPr>
            </w:pPr>
            <w:r w:rsidRPr="00D43480">
              <w:rPr>
                <w:rFonts w:eastAsia="Times New Roman"/>
                <w:b/>
                <w:bCs/>
                <w:sz w:val="18"/>
                <w:szCs w:val="18"/>
              </w:rPr>
              <w:t>Symbol</w:t>
            </w:r>
          </w:p>
        </w:tc>
        <w:tc>
          <w:tcPr>
            <w:tcW w:w="900" w:type="dxa"/>
            <w:shd w:val="clear" w:color="auto" w:fill="auto"/>
            <w:vAlign w:val="bottom"/>
            <w:hideMark/>
          </w:tcPr>
          <w:p w:rsidR="00DF0306" w:rsidRPr="00D43480" w:rsidRDefault="00DF0306" w:rsidP="00B2543F">
            <w:pPr>
              <w:spacing w:after="0" w:line="240" w:lineRule="auto"/>
              <w:jc w:val="center"/>
              <w:rPr>
                <w:rFonts w:eastAsia="Times New Roman"/>
                <w:b/>
                <w:bCs/>
                <w:sz w:val="18"/>
                <w:szCs w:val="18"/>
              </w:rPr>
            </w:pPr>
            <w:r w:rsidRPr="00D43480">
              <w:rPr>
                <w:rFonts w:eastAsia="Times New Roman"/>
                <w:b/>
                <w:bCs/>
                <w:sz w:val="18"/>
                <w:szCs w:val="18"/>
              </w:rPr>
              <w:t>Watcher</w:t>
            </w:r>
          </w:p>
        </w:tc>
        <w:tc>
          <w:tcPr>
            <w:tcW w:w="1350" w:type="dxa"/>
            <w:shd w:val="clear" w:color="auto" w:fill="auto"/>
            <w:vAlign w:val="bottom"/>
            <w:hideMark/>
          </w:tcPr>
          <w:p w:rsidR="00DF0306" w:rsidRPr="00D43480" w:rsidRDefault="00DF0306" w:rsidP="00B2543F">
            <w:pPr>
              <w:spacing w:after="0" w:line="240" w:lineRule="auto"/>
              <w:jc w:val="center"/>
              <w:rPr>
                <w:rFonts w:eastAsia="Times New Roman"/>
                <w:b/>
                <w:bCs/>
                <w:sz w:val="18"/>
                <w:szCs w:val="18"/>
              </w:rPr>
            </w:pPr>
            <w:r w:rsidRPr="00D43480">
              <w:rPr>
                <w:rFonts w:eastAsia="Times New Roman"/>
                <w:b/>
                <w:bCs/>
                <w:sz w:val="18"/>
                <w:szCs w:val="18"/>
              </w:rPr>
              <w:t>Watcher</w:t>
            </w:r>
            <w:r>
              <w:rPr>
                <w:rFonts w:eastAsia="Times New Roman"/>
                <w:b/>
                <w:bCs/>
                <w:sz w:val="18"/>
                <w:szCs w:val="18"/>
              </w:rPr>
              <w:t>:</w:t>
            </w:r>
            <w:r w:rsidRPr="00D43480">
              <w:rPr>
                <w:rFonts w:eastAsia="Times New Roman"/>
                <w:b/>
                <w:bCs/>
                <w:sz w:val="18"/>
                <w:szCs w:val="18"/>
              </w:rPr>
              <w:t xml:space="preserve"> B</w:t>
            </w:r>
            <w:r>
              <w:rPr>
                <w:rFonts w:eastAsia="Times New Roman"/>
                <w:b/>
                <w:bCs/>
                <w:sz w:val="18"/>
                <w:szCs w:val="18"/>
              </w:rPr>
              <w:t>uy/Hold/Sell</w:t>
            </w:r>
          </w:p>
        </w:tc>
        <w:tc>
          <w:tcPr>
            <w:tcW w:w="1350" w:type="dxa"/>
            <w:shd w:val="clear" w:color="auto" w:fill="auto"/>
            <w:vAlign w:val="bottom"/>
            <w:hideMark/>
          </w:tcPr>
          <w:p w:rsidR="00DF0306" w:rsidRPr="00D43480" w:rsidRDefault="00DF0306" w:rsidP="00B2543F">
            <w:pPr>
              <w:spacing w:after="0" w:line="240" w:lineRule="auto"/>
              <w:jc w:val="center"/>
              <w:rPr>
                <w:rFonts w:eastAsia="Times New Roman"/>
                <w:b/>
                <w:bCs/>
                <w:sz w:val="18"/>
                <w:szCs w:val="18"/>
              </w:rPr>
            </w:pPr>
            <w:r>
              <w:rPr>
                <w:rFonts w:eastAsia="Times New Roman"/>
                <w:b/>
                <w:bCs/>
                <w:sz w:val="18"/>
                <w:szCs w:val="18"/>
              </w:rPr>
              <w:t>S</w:t>
            </w:r>
            <w:r w:rsidRPr="00D43480">
              <w:rPr>
                <w:rFonts w:eastAsia="Times New Roman"/>
                <w:b/>
                <w:bCs/>
                <w:sz w:val="18"/>
                <w:szCs w:val="18"/>
              </w:rPr>
              <w:t>SG</w:t>
            </w:r>
            <w:r>
              <w:rPr>
                <w:rFonts w:eastAsia="Times New Roman"/>
                <w:b/>
                <w:bCs/>
                <w:sz w:val="18"/>
                <w:szCs w:val="18"/>
              </w:rPr>
              <w:t>:</w:t>
            </w:r>
            <w:r w:rsidRPr="00D43480">
              <w:rPr>
                <w:rFonts w:eastAsia="Times New Roman"/>
                <w:b/>
                <w:bCs/>
                <w:sz w:val="18"/>
                <w:szCs w:val="18"/>
              </w:rPr>
              <w:t xml:space="preserve"> B</w:t>
            </w:r>
            <w:r>
              <w:rPr>
                <w:rFonts w:eastAsia="Times New Roman"/>
                <w:b/>
                <w:bCs/>
                <w:sz w:val="18"/>
                <w:szCs w:val="18"/>
              </w:rPr>
              <w:t>uy/Hold/Sell</w:t>
            </w:r>
          </w:p>
        </w:tc>
        <w:tc>
          <w:tcPr>
            <w:tcW w:w="900" w:type="dxa"/>
          </w:tcPr>
          <w:p w:rsidR="00DF0306" w:rsidRDefault="00DF0306" w:rsidP="00B2543F">
            <w:pPr>
              <w:spacing w:after="0" w:line="240" w:lineRule="auto"/>
              <w:jc w:val="center"/>
              <w:rPr>
                <w:rFonts w:eastAsia="Times New Roman"/>
                <w:b/>
                <w:bCs/>
                <w:sz w:val="18"/>
                <w:szCs w:val="18"/>
              </w:rPr>
            </w:pPr>
          </w:p>
          <w:p w:rsidR="00DF0306" w:rsidRPr="00D43480" w:rsidRDefault="00DF0306" w:rsidP="00B2543F">
            <w:pPr>
              <w:spacing w:after="0" w:line="240" w:lineRule="auto"/>
              <w:jc w:val="center"/>
              <w:rPr>
                <w:rFonts w:eastAsia="Times New Roman"/>
                <w:b/>
                <w:bCs/>
                <w:sz w:val="18"/>
                <w:szCs w:val="18"/>
              </w:rPr>
            </w:pPr>
            <w:r>
              <w:rPr>
                <w:rFonts w:eastAsia="Times New Roman"/>
                <w:b/>
                <w:bCs/>
                <w:sz w:val="18"/>
                <w:szCs w:val="18"/>
              </w:rPr>
              <w:t>Closing Price:</w:t>
            </w:r>
          </w:p>
        </w:tc>
        <w:tc>
          <w:tcPr>
            <w:tcW w:w="1080" w:type="dxa"/>
            <w:shd w:val="clear" w:color="auto" w:fill="auto"/>
            <w:vAlign w:val="bottom"/>
            <w:hideMark/>
          </w:tcPr>
          <w:p w:rsidR="00DF0306" w:rsidRPr="00D43480" w:rsidRDefault="00DF0306" w:rsidP="00B2543F">
            <w:pPr>
              <w:spacing w:after="0" w:line="240" w:lineRule="auto"/>
              <w:jc w:val="center"/>
              <w:rPr>
                <w:rFonts w:eastAsia="Times New Roman"/>
                <w:b/>
                <w:bCs/>
                <w:sz w:val="18"/>
                <w:szCs w:val="18"/>
              </w:rPr>
            </w:pPr>
            <w:r w:rsidRPr="00D43480">
              <w:rPr>
                <w:rFonts w:eastAsia="Times New Roman"/>
                <w:b/>
                <w:bCs/>
                <w:sz w:val="18"/>
                <w:szCs w:val="18"/>
              </w:rPr>
              <w:t>#</w:t>
            </w:r>
            <w:r>
              <w:rPr>
                <w:rFonts w:eastAsia="Times New Roman"/>
                <w:b/>
                <w:bCs/>
                <w:sz w:val="18"/>
                <w:szCs w:val="18"/>
              </w:rPr>
              <w:t xml:space="preserve"> of Shares</w:t>
            </w:r>
          </w:p>
        </w:tc>
        <w:tc>
          <w:tcPr>
            <w:tcW w:w="900" w:type="dxa"/>
            <w:vAlign w:val="bottom"/>
          </w:tcPr>
          <w:p w:rsidR="00DF0306" w:rsidRPr="00D43480" w:rsidRDefault="00DF0306" w:rsidP="00B2543F">
            <w:pPr>
              <w:spacing w:after="0" w:line="240" w:lineRule="auto"/>
              <w:jc w:val="center"/>
              <w:rPr>
                <w:rFonts w:eastAsia="Times New Roman"/>
                <w:b/>
                <w:bCs/>
                <w:sz w:val="18"/>
                <w:szCs w:val="18"/>
              </w:rPr>
            </w:pPr>
            <w:r>
              <w:rPr>
                <w:rFonts w:eastAsia="Times New Roman"/>
                <w:b/>
                <w:bCs/>
                <w:sz w:val="18"/>
                <w:szCs w:val="18"/>
              </w:rPr>
              <w:t>% of Portfolio</w:t>
            </w:r>
          </w:p>
        </w:tc>
        <w:tc>
          <w:tcPr>
            <w:tcW w:w="900" w:type="dxa"/>
            <w:shd w:val="clear" w:color="auto" w:fill="auto"/>
            <w:vAlign w:val="bottom"/>
            <w:hideMark/>
          </w:tcPr>
          <w:p w:rsidR="00DF0306" w:rsidRPr="00D43480" w:rsidRDefault="00DF0306" w:rsidP="00B2543F">
            <w:pPr>
              <w:spacing w:after="0" w:line="240" w:lineRule="auto"/>
              <w:jc w:val="center"/>
              <w:rPr>
                <w:rFonts w:eastAsia="Times New Roman"/>
                <w:b/>
                <w:bCs/>
                <w:sz w:val="18"/>
                <w:szCs w:val="18"/>
              </w:rPr>
            </w:pPr>
            <w:r w:rsidRPr="00D43480">
              <w:rPr>
                <w:rFonts w:eastAsia="Times New Roman"/>
                <w:b/>
                <w:bCs/>
                <w:sz w:val="18"/>
                <w:szCs w:val="18"/>
              </w:rPr>
              <w:t>Y</w:t>
            </w:r>
            <w:r>
              <w:rPr>
                <w:rFonts w:eastAsia="Times New Roman"/>
                <w:b/>
                <w:bCs/>
                <w:sz w:val="18"/>
                <w:szCs w:val="18"/>
              </w:rPr>
              <w:t xml:space="preserve">ear </w:t>
            </w:r>
            <w:r w:rsidRPr="00D43480">
              <w:rPr>
                <w:rFonts w:eastAsia="Times New Roman"/>
                <w:b/>
                <w:bCs/>
                <w:sz w:val="18"/>
                <w:szCs w:val="18"/>
              </w:rPr>
              <w:t>E</w:t>
            </w:r>
            <w:r>
              <w:rPr>
                <w:rFonts w:eastAsia="Times New Roman"/>
                <w:b/>
                <w:bCs/>
                <w:sz w:val="18"/>
                <w:szCs w:val="18"/>
              </w:rPr>
              <w:t>nd</w:t>
            </w:r>
          </w:p>
        </w:tc>
        <w:tc>
          <w:tcPr>
            <w:tcW w:w="1379" w:type="dxa"/>
            <w:shd w:val="clear" w:color="auto" w:fill="auto"/>
            <w:vAlign w:val="bottom"/>
            <w:hideMark/>
          </w:tcPr>
          <w:p w:rsidR="00DF0306" w:rsidRPr="00D43480" w:rsidRDefault="00DF0306" w:rsidP="00B2543F">
            <w:pPr>
              <w:spacing w:after="0" w:line="240" w:lineRule="auto"/>
              <w:jc w:val="center"/>
              <w:rPr>
                <w:rFonts w:eastAsia="Times New Roman"/>
                <w:b/>
                <w:bCs/>
                <w:sz w:val="18"/>
                <w:szCs w:val="18"/>
              </w:rPr>
            </w:pPr>
            <w:r>
              <w:rPr>
                <w:rFonts w:eastAsia="Times New Roman"/>
                <w:b/>
                <w:bCs/>
                <w:sz w:val="18"/>
                <w:szCs w:val="18"/>
              </w:rPr>
              <w:t>N</w:t>
            </w:r>
            <w:r w:rsidRPr="00D43480">
              <w:rPr>
                <w:rFonts w:eastAsia="Times New Roman"/>
                <w:b/>
                <w:bCs/>
                <w:sz w:val="18"/>
                <w:szCs w:val="18"/>
              </w:rPr>
              <w:t>ext Earn</w:t>
            </w:r>
            <w:r>
              <w:rPr>
                <w:rFonts w:eastAsia="Times New Roman"/>
                <w:b/>
                <w:bCs/>
                <w:sz w:val="18"/>
                <w:szCs w:val="18"/>
              </w:rPr>
              <w:t>ing</w:t>
            </w:r>
            <w:r w:rsidRPr="00D43480">
              <w:rPr>
                <w:rFonts w:eastAsia="Times New Roman"/>
                <w:b/>
                <w:bCs/>
                <w:sz w:val="18"/>
                <w:szCs w:val="18"/>
              </w:rPr>
              <w:t>s</w:t>
            </w:r>
            <w:r>
              <w:rPr>
                <w:rFonts w:eastAsia="Times New Roman"/>
                <w:b/>
                <w:bCs/>
                <w:sz w:val="18"/>
                <w:szCs w:val="18"/>
              </w:rPr>
              <w:t xml:space="preserve"> Report:</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Pr>
                <w:rFonts w:eastAsia="Times New Roman"/>
                <w:sz w:val="18"/>
                <w:szCs w:val="18"/>
              </w:rPr>
              <w:t>A</w:t>
            </w:r>
            <w:r w:rsidRPr="00D43480">
              <w:rPr>
                <w:rFonts w:eastAsia="Times New Roman"/>
                <w:sz w:val="18"/>
                <w:szCs w:val="18"/>
              </w:rPr>
              <w:t xml:space="preserve">pple </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AAPL</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Jackie</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95</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8.5</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Sep.</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4/30/17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Pr>
                <w:rFonts w:eastAsia="Times New Roman"/>
                <w:sz w:val="18"/>
                <w:szCs w:val="18"/>
              </w:rPr>
              <w:t xml:space="preserve">C. H. Robinson </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CHRW</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Larry</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color w:val="FF0000"/>
                <w:sz w:val="18"/>
                <w:szCs w:val="18"/>
              </w:rPr>
            </w:pPr>
            <w:r w:rsidRPr="0087757C">
              <w:rPr>
                <w:rFonts w:eastAsia="Times New Roman"/>
                <w:color w:val="000000" w:themeColor="text1"/>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color w:val="FF0000"/>
                <w:sz w:val="18"/>
                <w:szCs w:val="18"/>
              </w:rPr>
            </w:pPr>
            <w:r w:rsidRPr="00D13A40">
              <w:rPr>
                <w:rFonts w:eastAsia="Times New Roman"/>
                <w:color w:val="000000" w:themeColor="text1"/>
                <w:sz w:val="18"/>
                <w:szCs w:val="18"/>
              </w:rPr>
              <w:t>TBD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185</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8.8</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4/25/17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Pr>
                <w:rFonts w:eastAsia="Times New Roman"/>
                <w:sz w:val="18"/>
                <w:szCs w:val="18"/>
              </w:rPr>
              <w:t xml:space="preserve">Cerner </w:t>
            </w:r>
            <w:r w:rsidRPr="00D43480">
              <w:rPr>
                <w:rFonts w:eastAsia="Times New Roman"/>
                <w:sz w:val="18"/>
                <w:szCs w:val="18"/>
              </w:rPr>
              <w:t xml:space="preserve"> </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CERN</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Gregg</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60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2.2</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5/4/17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Cognizant</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CTSH</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Mike</w:t>
            </w:r>
          </w:p>
        </w:tc>
        <w:tc>
          <w:tcPr>
            <w:tcW w:w="1350" w:type="dxa"/>
            <w:shd w:val="clear" w:color="auto" w:fill="auto"/>
            <w:noWrap/>
            <w:vAlign w:val="bottom"/>
          </w:tcPr>
          <w:p w:rsidR="00DF0306" w:rsidRPr="00D43480" w:rsidRDefault="009517C5"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9517C5" w:rsidP="00B2543F">
            <w:pPr>
              <w:spacing w:after="0" w:line="240" w:lineRule="auto"/>
              <w:jc w:val="center"/>
              <w:rPr>
                <w:rFonts w:eastAsia="Times New Roman"/>
                <w:sz w:val="18"/>
                <w:szCs w:val="18"/>
              </w:rPr>
            </w:pPr>
            <w:r>
              <w:rPr>
                <w:rFonts w:eastAsia="Times New Roman"/>
                <w:sz w:val="18"/>
                <w:szCs w:val="18"/>
              </w:rPr>
              <w:t>HOLD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200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7.3</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5/4/17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CVS Health</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CVS</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Latisha</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11</w:t>
            </w:r>
            <w:r w:rsidRPr="00D43480">
              <w:rPr>
                <w:rFonts w:eastAsia="Times New Roman"/>
                <w:sz w:val="18"/>
                <w:szCs w:val="18"/>
              </w:rPr>
              <w:t>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5.3</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5/2/17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Danaher</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DHR</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Harrison</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110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5.9</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4/20/17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Fastenal</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FAST</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Rich</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250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7.9</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4/11/17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Pr>
                <w:rFonts w:eastAsia="Times New Roman"/>
                <w:sz w:val="18"/>
                <w:szCs w:val="18"/>
              </w:rPr>
              <w:t xml:space="preserve">Gilead </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GILD</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Kate</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130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5.4</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4/27/17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lastRenderedPageBreak/>
              <w:t xml:space="preserve">LKQ Corp </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LKQ</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Frank</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375</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6.6</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(TBD)</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Pr>
                <w:rFonts w:eastAsia="Times New Roman"/>
                <w:sz w:val="18"/>
                <w:szCs w:val="18"/>
              </w:rPr>
              <w:t>Novo Nordisk</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NVO</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Ian</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200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4.5</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N/A</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Pr>
                <w:rFonts w:eastAsia="Times New Roman"/>
                <w:sz w:val="18"/>
                <w:szCs w:val="18"/>
              </w:rPr>
              <w:t>Polaris</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PII</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Dene</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65</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3.3</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4/20/17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Schlumberger</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SLB</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Mary</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140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6.9</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4/20/17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Pr>
                <w:rFonts w:eastAsia="Times New Roman"/>
                <w:sz w:val="18"/>
                <w:szCs w:val="18"/>
              </w:rPr>
              <w:t>Signature Bank</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SBNY</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Craig</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110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9.7</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Dec</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4/20/17</w:t>
            </w:r>
          </w:p>
        </w:tc>
      </w:tr>
      <w:tr w:rsidR="00DF0306" w:rsidRPr="00D43480" w:rsidTr="00B2543F">
        <w:trPr>
          <w:trHeight w:val="261"/>
          <w:jc w:val="center"/>
        </w:trPr>
        <w:tc>
          <w:tcPr>
            <w:tcW w:w="134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Starbucks</w:t>
            </w:r>
          </w:p>
        </w:tc>
        <w:tc>
          <w:tcPr>
            <w:tcW w:w="81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SBUX</w:t>
            </w:r>
          </w:p>
        </w:tc>
        <w:tc>
          <w:tcPr>
            <w:tcW w:w="900" w:type="dxa"/>
            <w:shd w:val="clear" w:color="auto" w:fill="auto"/>
            <w:noWrap/>
            <w:vAlign w:val="bottom"/>
            <w:hideMark/>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Gerry</w:t>
            </w:r>
          </w:p>
        </w:tc>
        <w:tc>
          <w:tcPr>
            <w:tcW w:w="1350" w:type="dxa"/>
            <w:shd w:val="clear" w:color="auto" w:fill="auto"/>
            <w:noWrap/>
            <w:vAlign w:val="bottom"/>
          </w:tcPr>
          <w:p w:rsidR="00DF0306" w:rsidRPr="005B5A3E" w:rsidRDefault="00DF0306" w:rsidP="00B2543F">
            <w:pPr>
              <w:spacing w:after="0" w:line="240" w:lineRule="auto"/>
              <w:jc w:val="center"/>
              <w:rPr>
                <w:rFonts w:eastAsia="Times New Roman"/>
                <w:sz w:val="18"/>
                <w:szCs w:val="18"/>
              </w:rPr>
            </w:pPr>
            <w:r>
              <w:rPr>
                <w:rFonts w:eastAsia="Times New Roman"/>
                <w:sz w:val="18"/>
                <w:szCs w:val="18"/>
              </w:rPr>
              <w:t>HOLD</w:t>
            </w:r>
          </w:p>
        </w:tc>
        <w:tc>
          <w:tcPr>
            <w:tcW w:w="1350" w:type="dxa"/>
            <w:shd w:val="clear" w:color="auto" w:fill="auto"/>
            <w:noWrap/>
            <w:vAlign w:val="bottom"/>
          </w:tcPr>
          <w:p w:rsidR="00DF0306" w:rsidRPr="005B5A3E" w:rsidRDefault="00DF0306" w:rsidP="00B2543F">
            <w:pPr>
              <w:spacing w:after="0" w:line="240" w:lineRule="auto"/>
              <w:jc w:val="center"/>
              <w:rPr>
                <w:rFonts w:eastAsia="Times New Roman"/>
                <w:sz w:val="18"/>
                <w:szCs w:val="18"/>
              </w:rPr>
            </w:pPr>
            <w:r>
              <w:rPr>
                <w:rFonts w:eastAsia="Times New Roman"/>
                <w:sz w:val="18"/>
                <w:szCs w:val="18"/>
              </w:rPr>
              <w:t>HOLD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6</w:t>
            </w:r>
            <w:r w:rsidRPr="00D43480">
              <w:rPr>
                <w:rFonts w:eastAsia="Times New Roman"/>
                <w:sz w:val="18"/>
                <w:szCs w:val="18"/>
              </w:rPr>
              <w:t>0</w:t>
            </w:r>
          </w:p>
        </w:tc>
        <w:tc>
          <w:tcPr>
            <w:tcW w:w="90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2.2</w:t>
            </w:r>
          </w:p>
        </w:tc>
        <w:tc>
          <w:tcPr>
            <w:tcW w:w="900"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Sep</w:t>
            </w:r>
          </w:p>
        </w:tc>
        <w:tc>
          <w:tcPr>
            <w:tcW w:w="1379" w:type="dxa"/>
            <w:shd w:val="clear" w:color="auto" w:fill="auto"/>
            <w:noWrap/>
            <w:vAlign w:val="bottom"/>
            <w:hideMark/>
          </w:tcPr>
          <w:p w:rsidR="00DF0306" w:rsidRPr="00D43480" w:rsidRDefault="00DF0306" w:rsidP="00B2543F">
            <w:pPr>
              <w:spacing w:after="0" w:line="240" w:lineRule="auto"/>
              <w:jc w:val="center"/>
              <w:rPr>
                <w:rFonts w:eastAsia="Times New Roman"/>
                <w:sz w:val="18"/>
                <w:szCs w:val="18"/>
              </w:rPr>
            </w:pPr>
            <w:r w:rsidRPr="00D43480">
              <w:rPr>
                <w:rFonts w:eastAsia="Times New Roman"/>
                <w:sz w:val="18"/>
                <w:szCs w:val="18"/>
              </w:rPr>
              <w:t>4/27/17</w:t>
            </w:r>
          </w:p>
        </w:tc>
      </w:tr>
      <w:tr w:rsidR="00DF0306" w:rsidRPr="00D43480" w:rsidTr="00B2543F">
        <w:trPr>
          <w:trHeight w:val="261"/>
          <w:jc w:val="center"/>
        </w:trPr>
        <w:tc>
          <w:tcPr>
            <w:tcW w:w="1340" w:type="dxa"/>
            <w:shd w:val="clear" w:color="auto" w:fill="auto"/>
            <w:noWrap/>
            <w:vAlign w:val="bottom"/>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Tractor S</w:t>
            </w:r>
            <w:r>
              <w:rPr>
                <w:rFonts w:eastAsia="Times New Roman"/>
                <w:sz w:val="18"/>
                <w:szCs w:val="18"/>
              </w:rPr>
              <w:t>up</w:t>
            </w:r>
            <w:r w:rsidRPr="00D43480">
              <w:rPr>
                <w:rFonts w:eastAsia="Times New Roman"/>
                <w:sz w:val="18"/>
                <w:szCs w:val="18"/>
              </w:rPr>
              <w:t>ply</w:t>
            </w:r>
          </w:p>
        </w:tc>
        <w:tc>
          <w:tcPr>
            <w:tcW w:w="810" w:type="dxa"/>
            <w:shd w:val="clear" w:color="auto" w:fill="auto"/>
            <w:noWrap/>
            <w:vAlign w:val="bottom"/>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TSCO</w:t>
            </w:r>
          </w:p>
        </w:tc>
        <w:tc>
          <w:tcPr>
            <w:tcW w:w="900" w:type="dxa"/>
            <w:shd w:val="clear" w:color="auto" w:fill="auto"/>
            <w:noWrap/>
            <w:vAlign w:val="bottom"/>
          </w:tcPr>
          <w:p w:rsidR="00DF0306" w:rsidRPr="00D43480" w:rsidRDefault="00DF0306" w:rsidP="00B2543F">
            <w:pPr>
              <w:spacing w:after="0" w:line="240" w:lineRule="auto"/>
              <w:rPr>
                <w:rFonts w:eastAsia="Times New Roman"/>
                <w:sz w:val="18"/>
                <w:szCs w:val="18"/>
              </w:rPr>
            </w:pPr>
            <w:r>
              <w:rPr>
                <w:rFonts w:eastAsia="Times New Roman"/>
                <w:sz w:val="18"/>
                <w:szCs w:val="18"/>
              </w:rPr>
              <w:t>Nelson</w:t>
            </w:r>
          </w:p>
        </w:tc>
        <w:tc>
          <w:tcPr>
            <w:tcW w:w="1350" w:type="dxa"/>
            <w:vAlign w:val="bottom"/>
          </w:tcPr>
          <w:p w:rsidR="00DF0306" w:rsidRPr="00D43480" w:rsidRDefault="00DF0306" w:rsidP="00B2543F">
            <w:pPr>
              <w:spacing w:after="0" w:line="240" w:lineRule="auto"/>
              <w:jc w:val="center"/>
              <w:rPr>
                <w:rFonts w:eastAsia="Times New Roman"/>
                <w:sz w:val="18"/>
                <w:szCs w:val="18"/>
              </w:rPr>
            </w:pPr>
          </w:p>
        </w:tc>
        <w:tc>
          <w:tcPr>
            <w:tcW w:w="1350" w:type="dxa"/>
            <w:vAlign w:val="bottom"/>
          </w:tcPr>
          <w:p w:rsidR="00DF0306" w:rsidRPr="00D43480" w:rsidRDefault="00DF0306" w:rsidP="00B2543F">
            <w:pPr>
              <w:spacing w:after="0" w:line="240" w:lineRule="auto"/>
              <w:jc w:val="center"/>
              <w:rPr>
                <w:rFonts w:eastAsia="Times New Roman"/>
                <w:sz w:val="18"/>
                <w:szCs w:val="18"/>
              </w:rPr>
            </w:pPr>
          </w:p>
        </w:tc>
        <w:tc>
          <w:tcPr>
            <w:tcW w:w="900" w:type="dxa"/>
          </w:tcPr>
          <w:p w:rsidR="00DF0306" w:rsidRDefault="00DF0306" w:rsidP="00B2543F">
            <w:pPr>
              <w:spacing w:after="0" w:line="240" w:lineRule="auto"/>
              <w:jc w:val="center"/>
              <w:rPr>
                <w:rFonts w:eastAsia="Times New Roman"/>
                <w:sz w:val="18"/>
                <w:szCs w:val="18"/>
              </w:rPr>
            </w:pPr>
          </w:p>
        </w:tc>
        <w:tc>
          <w:tcPr>
            <w:tcW w:w="1080" w:type="dxa"/>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50</w:t>
            </w:r>
          </w:p>
        </w:tc>
        <w:tc>
          <w:tcPr>
            <w:tcW w:w="90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2.2</w:t>
            </w:r>
          </w:p>
        </w:tc>
        <w:tc>
          <w:tcPr>
            <w:tcW w:w="900"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Dec</w:t>
            </w:r>
          </w:p>
        </w:tc>
        <w:tc>
          <w:tcPr>
            <w:tcW w:w="1379" w:type="dxa"/>
            <w:shd w:val="clear" w:color="auto" w:fill="auto"/>
            <w:noWrap/>
            <w:vAlign w:val="bottom"/>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4/26/17</w:t>
            </w:r>
          </w:p>
        </w:tc>
      </w:tr>
      <w:tr w:rsidR="00DF0306" w:rsidRPr="00D43480" w:rsidTr="00B2543F">
        <w:trPr>
          <w:trHeight w:val="358"/>
          <w:jc w:val="center"/>
        </w:trPr>
        <w:tc>
          <w:tcPr>
            <w:tcW w:w="1340" w:type="dxa"/>
          </w:tcPr>
          <w:p w:rsidR="00DF0306" w:rsidRDefault="00DF0306" w:rsidP="00B2543F">
            <w:pPr>
              <w:spacing w:after="0"/>
              <w:ind w:left="21"/>
              <w:jc w:val="center"/>
              <w:rPr>
                <w:rFonts w:eastAsia="Times New Roman"/>
                <w:b/>
                <w:sz w:val="24"/>
              </w:rPr>
            </w:pPr>
          </w:p>
        </w:tc>
        <w:tc>
          <w:tcPr>
            <w:tcW w:w="9569" w:type="dxa"/>
            <w:gridSpan w:val="9"/>
            <w:shd w:val="clear" w:color="auto" w:fill="auto"/>
            <w:noWrap/>
            <w:vAlign w:val="center"/>
          </w:tcPr>
          <w:p w:rsidR="00DF0306" w:rsidRPr="00D43480" w:rsidRDefault="00DF0306" w:rsidP="00B2543F">
            <w:pPr>
              <w:spacing w:after="0"/>
              <w:ind w:left="21"/>
              <w:jc w:val="center"/>
              <w:rPr>
                <w:rFonts w:eastAsia="Times New Roman"/>
                <w:sz w:val="18"/>
                <w:szCs w:val="18"/>
              </w:rPr>
            </w:pPr>
            <w:r>
              <w:rPr>
                <w:rFonts w:eastAsia="Times New Roman"/>
                <w:b/>
                <w:sz w:val="24"/>
              </w:rPr>
              <w:t>Stocks on “Pounce / Watch List”</w:t>
            </w:r>
          </w:p>
        </w:tc>
      </w:tr>
      <w:tr w:rsidR="00DF0306" w:rsidRPr="00D43480" w:rsidTr="00B2543F">
        <w:trPr>
          <w:trHeight w:val="333"/>
          <w:jc w:val="center"/>
        </w:trPr>
        <w:tc>
          <w:tcPr>
            <w:tcW w:w="1340" w:type="dxa"/>
            <w:shd w:val="clear" w:color="auto" w:fill="auto"/>
            <w:noWrap/>
            <w:vAlign w:val="center"/>
          </w:tcPr>
          <w:p w:rsidR="00DF0306" w:rsidRPr="00D43480" w:rsidRDefault="00DF0306" w:rsidP="00B2543F">
            <w:pPr>
              <w:spacing w:after="0" w:line="240" w:lineRule="auto"/>
              <w:rPr>
                <w:rFonts w:eastAsia="Times New Roman"/>
                <w:sz w:val="18"/>
                <w:szCs w:val="18"/>
              </w:rPr>
            </w:pPr>
            <w:r>
              <w:rPr>
                <w:rFonts w:eastAsia="Times New Roman"/>
                <w:sz w:val="18"/>
                <w:szCs w:val="18"/>
              </w:rPr>
              <w:t xml:space="preserve">Photonics </w:t>
            </w:r>
          </w:p>
        </w:tc>
        <w:tc>
          <w:tcPr>
            <w:tcW w:w="810" w:type="dxa"/>
            <w:shd w:val="clear" w:color="auto" w:fill="auto"/>
            <w:noWrap/>
            <w:vAlign w:val="center"/>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IPGP</w:t>
            </w:r>
          </w:p>
        </w:tc>
        <w:tc>
          <w:tcPr>
            <w:tcW w:w="900" w:type="dxa"/>
            <w:shd w:val="clear" w:color="auto" w:fill="auto"/>
            <w:noWrap/>
            <w:vAlign w:val="center"/>
          </w:tcPr>
          <w:p w:rsidR="00DF0306" w:rsidRPr="00D43480" w:rsidRDefault="00DF0306" w:rsidP="00B2543F">
            <w:pPr>
              <w:spacing w:after="0" w:line="240" w:lineRule="auto"/>
              <w:rPr>
                <w:rFonts w:eastAsia="Times New Roman"/>
                <w:sz w:val="18"/>
                <w:szCs w:val="18"/>
              </w:rPr>
            </w:pPr>
            <w:r w:rsidRPr="00D43480">
              <w:rPr>
                <w:rFonts w:eastAsia="Times New Roman"/>
                <w:sz w:val="18"/>
                <w:szCs w:val="18"/>
              </w:rPr>
              <w:t>Mike</w:t>
            </w:r>
          </w:p>
        </w:tc>
        <w:tc>
          <w:tcPr>
            <w:tcW w:w="2700" w:type="dxa"/>
            <w:gridSpan w:val="2"/>
            <w:vAlign w:val="center"/>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 range: 70.20 to 96.10</w:t>
            </w:r>
          </w:p>
        </w:tc>
        <w:tc>
          <w:tcPr>
            <w:tcW w:w="900" w:type="dxa"/>
          </w:tcPr>
          <w:p w:rsidR="00DF0306" w:rsidRPr="00D43480" w:rsidRDefault="00DF0306" w:rsidP="00B2543F">
            <w:pPr>
              <w:spacing w:after="0" w:line="240" w:lineRule="auto"/>
              <w:rPr>
                <w:rFonts w:eastAsia="Times New Roman"/>
                <w:sz w:val="18"/>
                <w:szCs w:val="18"/>
              </w:rPr>
            </w:pPr>
          </w:p>
        </w:tc>
        <w:tc>
          <w:tcPr>
            <w:tcW w:w="1080" w:type="dxa"/>
            <w:vAlign w:val="center"/>
          </w:tcPr>
          <w:p w:rsidR="00DF0306" w:rsidRPr="00D43480" w:rsidRDefault="00DF0306" w:rsidP="00B2543F">
            <w:pPr>
              <w:spacing w:after="0" w:line="240" w:lineRule="auto"/>
              <w:rPr>
                <w:rFonts w:eastAsia="Times New Roman"/>
                <w:sz w:val="18"/>
                <w:szCs w:val="18"/>
              </w:rPr>
            </w:pPr>
          </w:p>
        </w:tc>
        <w:tc>
          <w:tcPr>
            <w:tcW w:w="900" w:type="dxa"/>
            <w:shd w:val="clear" w:color="auto" w:fill="auto"/>
            <w:noWrap/>
            <w:vAlign w:val="center"/>
          </w:tcPr>
          <w:p w:rsidR="00DF0306" w:rsidRPr="00D43480" w:rsidRDefault="00DF0306" w:rsidP="00B2543F">
            <w:pPr>
              <w:spacing w:after="0" w:line="240" w:lineRule="auto"/>
              <w:rPr>
                <w:rFonts w:eastAsia="Times New Roman"/>
                <w:sz w:val="18"/>
                <w:szCs w:val="18"/>
              </w:rPr>
            </w:pPr>
          </w:p>
        </w:tc>
        <w:tc>
          <w:tcPr>
            <w:tcW w:w="900" w:type="dxa"/>
            <w:shd w:val="clear" w:color="auto" w:fill="auto"/>
            <w:noWrap/>
            <w:vAlign w:val="center"/>
          </w:tcPr>
          <w:p w:rsidR="00DF0306" w:rsidRPr="00D43480" w:rsidRDefault="00DF0306" w:rsidP="00B2543F">
            <w:pPr>
              <w:spacing w:after="0" w:line="240" w:lineRule="auto"/>
              <w:rPr>
                <w:rFonts w:eastAsia="Times New Roman"/>
                <w:sz w:val="18"/>
                <w:szCs w:val="18"/>
              </w:rPr>
            </w:pPr>
          </w:p>
        </w:tc>
        <w:tc>
          <w:tcPr>
            <w:tcW w:w="1379" w:type="dxa"/>
            <w:shd w:val="clear" w:color="auto" w:fill="auto"/>
            <w:noWrap/>
            <w:vAlign w:val="center"/>
          </w:tcPr>
          <w:p w:rsidR="00DF0306" w:rsidRPr="00D43480" w:rsidRDefault="00DF0306" w:rsidP="00B2543F">
            <w:pPr>
              <w:spacing w:after="0" w:line="240" w:lineRule="auto"/>
              <w:rPr>
                <w:rFonts w:eastAsia="Times New Roman"/>
                <w:sz w:val="18"/>
                <w:szCs w:val="18"/>
              </w:rPr>
            </w:pPr>
          </w:p>
        </w:tc>
      </w:tr>
      <w:tr w:rsidR="00DF0306" w:rsidRPr="00D43480" w:rsidTr="00B2543F">
        <w:trPr>
          <w:trHeight w:val="278"/>
          <w:jc w:val="center"/>
        </w:trPr>
        <w:tc>
          <w:tcPr>
            <w:tcW w:w="1340" w:type="dxa"/>
            <w:shd w:val="clear" w:color="auto" w:fill="auto"/>
            <w:noWrap/>
            <w:vAlign w:val="center"/>
          </w:tcPr>
          <w:p w:rsidR="00DF0306" w:rsidRDefault="00DF0306" w:rsidP="00B2543F">
            <w:pPr>
              <w:spacing w:after="0" w:line="240" w:lineRule="auto"/>
              <w:rPr>
                <w:rFonts w:eastAsia="Times New Roman"/>
                <w:sz w:val="18"/>
                <w:szCs w:val="18"/>
              </w:rPr>
            </w:pPr>
            <w:r>
              <w:rPr>
                <w:rFonts w:eastAsia="Times New Roman"/>
                <w:sz w:val="18"/>
                <w:szCs w:val="18"/>
              </w:rPr>
              <w:t>ULTA</w:t>
            </w:r>
          </w:p>
        </w:tc>
        <w:tc>
          <w:tcPr>
            <w:tcW w:w="810" w:type="dxa"/>
            <w:shd w:val="clear" w:color="auto" w:fill="auto"/>
            <w:noWrap/>
            <w:vAlign w:val="center"/>
          </w:tcPr>
          <w:p w:rsidR="00DF0306" w:rsidRPr="00D43480" w:rsidRDefault="00DF0306" w:rsidP="00B2543F">
            <w:pPr>
              <w:spacing w:after="0" w:line="240" w:lineRule="auto"/>
              <w:rPr>
                <w:rFonts w:eastAsia="Times New Roman"/>
                <w:sz w:val="18"/>
                <w:szCs w:val="18"/>
              </w:rPr>
            </w:pPr>
            <w:r>
              <w:rPr>
                <w:rFonts w:eastAsia="Times New Roman"/>
                <w:sz w:val="18"/>
                <w:szCs w:val="18"/>
              </w:rPr>
              <w:t>ULTA</w:t>
            </w:r>
          </w:p>
        </w:tc>
        <w:tc>
          <w:tcPr>
            <w:tcW w:w="900" w:type="dxa"/>
            <w:shd w:val="clear" w:color="auto" w:fill="auto"/>
            <w:noWrap/>
            <w:vAlign w:val="center"/>
          </w:tcPr>
          <w:p w:rsidR="00DF0306" w:rsidRPr="00D43480" w:rsidRDefault="00DF0306" w:rsidP="00B2543F">
            <w:pPr>
              <w:spacing w:after="0" w:line="240" w:lineRule="auto"/>
              <w:rPr>
                <w:rFonts w:eastAsia="Times New Roman"/>
                <w:sz w:val="18"/>
                <w:szCs w:val="18"/>
              </w:rPr>
            </w:pPr>
            <w:r>
              <w:rPr>
                <w:rFonts w:eastAsia="Times New Roman"/>
                <w:sz w:val="18"/>
                <w:szCs w:val="18"/>
              </w:rPr>
              <w:t>Ian</w:t>
            </w:r>
          </w:p>
        </w:tc>
        <w:tc>
          <w:tcPr>
            <w:tcW w:w="2700" w:type="dxa"/>
            <w:gridSpan w:val="2"/>
          </w:tcPr>
          <w:p w:rsidR="00DF0306" w:rsidRPr="00D43480" w:rsidRDefault="00DF0306" w:rsidP="00B2543F">
            <w:pPr>
              <w:spacing w:after="0" w:line="240" w:lineRule="auto"/>
              <w:jc w:val="center"/>
              <w:rPr>
                <w:rFonts w:eastAsia="Times New Roman"/>
                <w:sz w:val="18"/>
                <w:szCs w:val="18"/>
              </w:rPr>
            </w:pPr>
            <w:r>
              <w:rPr>
                <w:rFonts w:eastAsia="Times New Roman"/>
                <w:sz w:val="18"/>
                <w:szCs w:val="18"/>
              </w:rPr>
              <w:t>Buy range: TBD</w:t>
            </w:r>
          </w:p>
        </w:tc>
        <w:tc>
          <w:tcPr>
            <w:tcW w:w="900" w:type="dxa"/>
          </w:tcPr>
          <w:p w:rsidR="00DF0306" w:rsidRPr="00D43480" w:rsidRDefault="00DF0306" w:rsidP="00B2543F">
            <w:pPr>
              <w:spacing w:after="0" w:line="240" w:lineRule="auto"/>
              <w:jc w:val="center"/>
              <w:rPr>
                <w:rFonts w:eastAsia="Times New Roman"/>
                <w:sz w:val="18"/>
                <w:szCs w:val="18"/>
              </w:rPr>
            </w:pPr>
          </w:p>
        </w:tc>
        <w:tc>
          <w:tcPr>
            <w:tcW w:w="1080" w:type="dxa"/>
          </w:tcPr>
          <w:p w:rsidR="00DF0306" w:rsidRPr="00D43480" w:rsidRDefault="00DF0306" w:rsidP="00B2543F">
            <w:pPr>
              <w:spacing w:after="0" w:line="240" w:lineRule="auto"/>
              <w:jc w:val="center"/>
              <w:rPr>
                <w:rFonts w:eastAsia="Times New Roman"/>
                <w:sz w:val="18"/>
                <w:szCs w:val="18"/>
              </w:rPr>
            </w:pPr>
          </w:p>
        </w:tc>
        <w:tc>
          <w:tcPr>
            <w:tcW w:w="900" w:type="dxa"/>
            <w:shd w:val="clear" w:color="auto" w:fill="auto"/>
            <w:noWrap/>
            <w:vAlign w:val="center"/>
          </w:tcPr>
          <w:p w:rsidR="00DF0306" w:rsidRPr="00D43480" w:rsidRDefault="00DF0306" w:rsidP="00B2543F">
            <w:pPr>
              <w:spacing w:after="0" w:line="240" w:lineRule="auto"/>
              <w:jc w:val="center"/>
              <w:rPr>
                <w:rFonts w:eastAsia="Times New Roman"/>
                <w:sz w:val="18"/>
                <w:szCs w:val="18"/>
              </w:rPr>
            </w:pPr>
          </w:p>
        </w:tc>
        <w:tc>
          <w:tcPr>
            <w:tcW w:w="900" w:type="dxa"/>
            <w:shd w:val="clear" w:color="auto" w:fill="auto"/>
            <w:noWrap/>
            <w:vAlign w:val="center"/>
          </w:tcPr>
          <w:p w:rsidR="00DF0306" w:rsidRPr="00D43480" w:rsidRDefault="00DF0306" w:rsidP="00B2543F">
            <w:pPr>
              <w:spacing w:after="0" w:line="240" w:lineRule="auto"/>
              <w:jc w:val="center"/>
              <w:rPr>
                <w:rFonts w:eastAsia="Times New Roman"/>
                <w:sz w:val="18"/>
                <w:szCs w:val="18"/>
              </w:rPr>
            </w:pPr>
          </w:p>
        </w:tc>
        <w:tc>
          <w:tcPr>
            <w:tcW w:w="1379" w:type="dxa"/>
            <w:shd w:val="clear" w:color="auto" w:fill="auto"/>
            <w:noWrap/>
            <w:vAlign w:val="center"/>
          </w:tcPr>
          <w:p w:rsidR="00DF0306" w:rsidRPr="00D43480" w:rsidRDefault="00DF0306" w:rsidP="00B2543F">
            <w:pPr>
              <w:spacing w:after="0" w:line="240" w:lineRule="auto"/>
              <w:jc w:val="center"/>
              <w:rPr>
                <w:rFonts w:eastAsia="Times New Roman"/>
                <w:sz w:val="18"/>
                <w:szCs w:val="18"/>
              </w:rPr>
            </w:pPr>
          </w:p>
        </w:tc>
      </w:tr>
    </w:tbl>
    <w:p w:rsidR="004F1404" w:rsidRDefault="004F1404"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337"/>
        <w:gridCol w:w="4680"/>
      </w:tblGrid>
      <w:tr w:rsidR="00C37DEC"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C37DEC" w:rsidRDefault="00C37DEC" w:rsidP="00C37DEC">
            <w:pPr>
              <w:widowControl w:val="0"/>
              <w:autoSpaceDE w:val="0"/>
              <w:autoSpaceDN w:val="0"/>
              <w:adjustRightInd w:val="0"/>
              <w:spacing w:after="0" w:line="240" w:lineRule="auto"/>
              <w:rPr>
                <w:lang w:val="en"/>
              </w:rPr>
            </w:pPr>
            <w:r>
              <w:rPr>
                <w:lang w:val="en"/>
              </w:rPr>
              <w:t>May</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C37DEC" w:rsidRPr="000602F2" w:rsidRDefault="00C37DEC" w:rsidP="00C37DEC">
            <w:pPr>
              <w:widowControl w:val="0"/>
              <w:autoSpaceDE w:val="0"/>
              <w:autoSpaceDN w:val="0"/>
              <w:adjustRightInd w:val="0"/>
              <w:spacing w:after="0" w:line="240" w:lineRule="auto"/>
              <w:rPr>
                <w:lang w:val="en"/>
              </w:rPr>
            </w:pP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C37DEC" w:rsidRDefault="009517C5" w:rsidP="00C37DEC">
            <w:pPr>
              <w:widowControl w:val="0"/>
              <w:autoSpaceDE w:val="0"/>
              <w:autoSpaceDN w:val="0"/>
              <w:adjustRightInd w:val="0"/>
              <w:spacing w:after="0" w:line="240" w:lineRule="auto"/>
              <w:rPr>
                <w:lang w:val="en"/>
              </w:rPr>
            </w:pPr>
            <w:r>
              <w:t>“Your SSG and the Income Statement” - Part III</w:t>
            </w:r>
          </w:p>
        </w:tc>
      </w:tr>
      <w:tr w:rsidR="00C37DEC"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C37DEC" w:rsidRDefault="00C37DEC" w:rsidP="00C37DEC">
            <w:pPr>
              <w:widowControl w:val="0"/>
              <w:autoSpaceDE w:val="0"/>
              <w:autoSpaceDN w:val="0"/>
              <w:adjustRightInd w:val="0"/>
              <w:spacing w:after="0" w:line="240" w:lineRule="auto"/>
              <w:rPr>
                <w:lang w:val="en"/>
              </w:rPr>
            </w:pPr>
            <w:r>
              <w:rPr>
                <w:lang w:val="en"/>
              </w:rPr>
              <w:t>June</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C37DEC" w:rsidRPr="000602F2" w:rsidRDefault="00C37DEC" w:rsidP="00C37DEC">
            <w:pPr>
              <w:widowControl w:val="0"/>
              <w:autoSpaceDE w:val="0"/>
              <w:autoSpaceDN w:val="0"/>
              <w:adjustRightInd w:val="0"/>
              <w:spacing w:after="0" w:line="240" w:lineRule="auto"/>
              <w:rPr>
                <w:lang w:val="en"/>
              </w:rPr>
            </w:pPr>
            <w:r>
              <w:rPr>
                <w:lang w:val="en"/>
              </w:rPr>
              <w:t>Mike</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C37DEC" w:rsidRPr="000602F2" w:rsidRDefault="00C37DEC" w:rsidP="00C37DEC">
            <w:pPr>
              <w:widowControl w:val="0"/>
              <w:autoSpaceDE w:val="0"/>
              <w:autoSpaceDN w:val="0"/>
              <w:adjustRightInd w:val="0"/>
              <w:spacing w:after="0" w:line="240" w:lineRule="auto"/>
              <w:rPr>
                <w:lang w:val="en"/>
              </w:rPr>
            </w:pPr>
            <w:r>
              <w:rPr>
                <w:lang w:val="en"/>
              </w:rPr>
              <w:t>Back Side of the SSG with emphasis on PEs</w:t>
            </w:r>
          </w:p>
        </w:tc>
      </w:tr>
      <w:tr w:rsidR="00C37DEC"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C37DEC" w:rsidRDefault="00C37DEC" w:rsidP="00C37DEC">
            <w:pPr>
              <w:widowControl w:val="0"/>
              <w:autoSpaceDE w:val="0"/>
              <w:autoSpaceDN w:val="0"/>
              <w:adjustRightInd w:val="0"/>
              <w:spacing w:after="0" w:line="240" w:lineRule="auto"/>
              <w:rPr>
                <w:lang w:val="en"/>
              </w:rPr>
            </w:pPr>
            <w:r>
              <w:rPr>
                <w:lang w:val="en"/>
              </w:rPr>
              <w:t>July</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C37DEC" w:rsidRPr="000602F2" w:rsidRDefault="00C37DEC" w:rsidP="00C37DEC">
            <w:pPr>
              <w:widowControl w:val="0"/>
              <w:autoSpaceDE w:val="0"/>
              <w:autoSpaceDN w:val="0"/>
              <w:adjustRightInd w:val="0"/>
              <w:spacing w:after="0" w:line="240" w:lineRule="auto"/>
              <w:rPr>
                <w:lang w:val="en"/>
              </w:rPr>
            </w:pP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C37DEC" w:rsidRPr="000602F2" w:rsidRDefault="00C37DEC" w:rsidP="00C37DEC">
            <w:pPr>
              <w:widowControl w:val="0"/>
              <w:autoSpaceDE w:val="0"/>
              <w:autoSpaceDN w:val="0"/>
              <w:adjustRightInd w:val="0"/>
              <w:spacing w:after="0" w:line="240" w:lineRule="auto"/>
              <w:rPr>
                <w:lang w:val="en"/>
              </w:rPr>
            </w:pPr>
          </w:p>
        </w:tc>
      </w:tr>
    </w:tbl>
    <w:p w:rsidR="00972EA1" w:rsidRDefault="00972EA1"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01642D"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r>
              <w:rPr>
                <w:lang w:val="en"/>
              </w:rPr>
              <w:t>May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r>
              <w:rPr>
                <w:lang w:val="en"/>
              </w:rPr>
              <w:t xml:space="preserve">Michele </w:t>
            </w:r>
            <w:proofErr w:type="spellStart"/>
            <w:r>
              <w:rPr>
                <w:lang w:val="en"/>
              </w:rPr>
              <w:t>Grinoch</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F35F29" w:rsidP="0001642D">
            <w:pPr>
              <w:widowControl w:val="0"/>
              <w:autoSpaceDE w:val="0"/>
              <w:autoSpaceDN w:val="0"/>
              <w:adjustRightInd w:val="0"/>
              <w:spacing w:after="0" w:line="240" w:lineRule="auto"/>
              <w:rPr>
                <w:lang w:val="en"/>
              </w:rPr>
            </w:pPr>
            <w:proofErr w:type="spellStart"/>
            <w:r>
              <w:rPr>
                <w:lang w:val="en"/>
              </w:rPr>
              <w:t>tbd</w:t>
            </w:r>
            <w:proofErr w:type="spellEnd"/>
          </w:p>
        </w:tc>
      </w:tr>
      <w:tr w:rsidR="0001642D"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r>
              <w:rPr>
                <w:lang w:val="en"/>
              </w:rPr>
              <w:t>June</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r>
              <w:rPr>
                <w:lang w:val="en"/>
              </w:rPr>
              <w:t>Rich Alden</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proofErr w:type="spellStart"/>
            <w:r>
              <w:rPr>
                <w:lang w:val="en"/>
              </w:rPr>
              <w:t>tbd</w:t>
            </w:r>
            <w:proofErr w:type="spellEnd"/>
          </w:p>
        </w:tc>
      </w:tr>
      <w:tr w:rsidR="0001642D"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r>
              <w:rPr>
                <w:lang w:val="en"/>
              </w:rPr>
              <w:t>July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r>
              <w:rPr>
                <w:lang w:val="en"/>
              </w:rPr>
              <w:t xml:space="preserve">Harrison </w:t>
            </w:r>
            <w:proofErr w:type="spellStart"/>
            <w:r>
              <w:rPr>
                <w:lang w:val="en"/>
              </w:rPr>
              <w:t>Baumbaugh</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1642D" w:rsidRDefault="0001642D" w:rsidP="0001642D">
            <w:pPr>
              <w:widowControl w:val="0"/>
              <w:autoSpaceDE w:val="0"/>
              <w:autoSpaceDN w:val="0"/>
              <w:adjustRightInd w:val="0"/>
              <w:spacing w:after="0" w:line="240" w:lineRule="auto"/>
              <w:rPr>
                <w:lang w:val="en"/>
              </w:rPr>
            </w:pPr>
            <w:proofErr w:type="spellStart"/>
            <w:r>
              <w:rPr>
                <w:lang w:val="en"/>
              </w:rPr>
              <w:t>tbd</w:t>
            </w:r>
            <w:proofErr w:type="spellEnd"/>
          </w:p>
        </w:tc>
      </w:tr>
    </w:tbl>
    <w:p w:rsidR="00440BE4" w:rsidRPr="000602F2" w:rsidRDefault="00440BE4" w:rsidP="000B566B">
      <w:pPr>
        <w:widowControl w:val="0"/>
        <w:autoSpaceDE w:val="0"/>
        <w:autoSpaceDN w:val="0"/>
        <w:adjustRightInd w:val="0"/>
        <w:spacing w:after="0" w:line="240" w:lineRule="auto"/>
        <w:rPr>
          <w:lang w:val="en"/>
        </w:rPr>
      </w:pPr>
    </w:p>
    <w:p w:rsidR="00442140" w:rsidRPr="00533BC2" w:rsidRDefault="00442140" w:rsidP="00442140">
      <w:pPr>
        <w:widowControl w:val="0"/>
        <w:autoSpaceDE w:val="0"/>
        <w:autoSpaceDN w:val="0"/>
        <w:adjustRightInd w:val="0"/>
        <w:spacing w:after="0" w:line="240" w:lineRule="auto"/>
        <w:rPr>
          <w:bCs/>
          <w:lang w:val="en"/>
        </w:rPr>
      </w:pPr>
      <w:r w:rsidRPr="00757409">
        <w:rPr>
          <w:b/>
          <w:bCs/>
          <w:u w:val="single"/>
          <w:lang w:val="en"/>
        </w:rPr>
        <w:t>Buy/Sell Decisions:</w:t>
      </w:r>
      <w:r w:rsidR="00533BC2" w:rsidRPr="00533BC2">
        <w:rPr>
          <w:b/>
          <w:bCs/>
          <w:lang w:val="en"/>
        </w:rPr>
        <w:t xml:space="preserve"> </w:t>
      </w:r>
      <w:r w:rsidR="00533BC2">
        <w:rPr>
          <w:bCs/>
          <w:lang w:val="en"/>
        </w:rPr>
        <w:t>(</w:t>
      </w:r>
      <w:r w:rsidR="00417B27">
        <w:rPr>
          <w:bCs/>
          <w:lang w:val="en"/>
        </w:rPr>
        <w:t xml:space="preserve">motion/second: action, type, </w:t>
      </w:r>
      <w:r w:rsidR="00533BC2">
        <w:rPr>
          <w:bCs/>
          <w:lang w:val="en"/>
        </w:rPr>
        <w:t>yes/no/abstain)</w:t>
      </w:r>
    </w:p>
    <w:p w:rsidR="00146B28" w:rsidRDefault="009517C5" w:rsidP="009517C5">
      <w:pPr>
        <w:pStyle w:val="ListParagraph"/>
        <w:widowControl w:val="0"/>
        <w:numPr>
          <w:ilvl w:val="0"/>
          <w:numId w:val="34"/>
        </w:numPr>
        <w:autoSpaceDE w:val="0"/>
        <w:autoSpaceDN w:val="0"/>
        <w:adjustRightInd w:val="0"/>
        <w:spacing w:after="0" w:line="240" w:lineRule="auto"/>
        <w:rPr>
          <w:lang w:val="en"/>
        </w:rPr>
      </w:pPr>
      <w:r>
        <w:rPr>
          <w:lang w:val="en"/>
        </w:rPr>
        <w:t>Craig emphasized that stocks whose watchers had not made specific recommendations with justification by Mon of the week prior were disallowed from action. Although several SSGs indicated BUY, watchers had all recommended HOLD.</w:t>
      </w:r>
    </w:p>
    <w:p w:rsidR="00841DFD" w:rsidRPr="00841DFD" w:rsidRDefault="00841DFD" w:rsidP="009517C5">
      <w:pPr>
        <w:pStyle w:val="ListParagraph"/>
        <w:widowControl w:val="0"/>
        <w:numPr>
          <w:ilvl w:val="0"/>
          <w:numId w:val="34"/>
        </w:numPr>
        <w:autoSpaceDE w:val="0"/>
        <w:autoSpaceDN w:val="0"/>
        <w:adjustRightInd w:val="0"/>
        <w:spacing w:after="0" w:line="240" w:lineRule="auto"/>
        <w:rPr>
          <w:lang w:val="en"/>
        </w:rPr>
      </w:pPr>
      <w:r>
        <w:rPr>
          <w:rFonts w:cstheme="minorHAnsi"/>
        </w:rPr>
        <w:t>Gregg &amp; Larry to do an industry study regarding CERN</w:t>
      </w:r>
    </w:p>
    <w:p w:rsidR="0001642D" w:rsidRPr="00841DFD" w:rsidRDefault="00F35F29" w:rsidP="008A5DF0">
      <w:pPr>
        <w:pStyle w:val="ListParagraph"/>
        <w:widowControl w:val="0"/>
        <w:numPr>
          <w:ilvl w:val="0"/>
          <w:numId w:val="34"/>
        </w:numPr>
        <w:autoSpaceDE w:val="0"/>
        <w:autoSpaceDN w:val="0"/>
        <w:adjustRightInd w:val="0"/>
        <w:spacing w:after="0" w:line="240" w:lineRule="auto"/>
        <w:rPr>
          <w:lang w:val="en"/>
        </w:rPr>
      </w:pPr>
      <w:r>
        <w:rPr>
          <w:rFonts w:cstheme="minorHAnsi"/>
        </w:rPr>
        <w:t>In a modified</w:t>
      </w:r>
      <w:r w:rsidR="00841DFD" w:rsidRPr="00841DFD">
        <w:rPr>
          <w:rFonts w:cstheme="minorHAnsi"/>
        </w:rPr>
        <w:t xml:space="preserve"> motion: Jackie/Nelson: buy 10sh BRK-B @$160 limit, 14/4/0</w:t>
      </w:r>
    </w:p>
    <w:p w:rsidR="00DF0306" w:rsidRDefault="00DF0306" w:rsidP="00DF0306">
      <w:pPr>
        <w:spacing w:after="0"/>
      </w:pPr>
      <w:r>
        <w:t>Note: use “chat box” on web votes to verify for all votes.</w:t>
      </w:r>
    </w:p>
    <w:p w:rsidR="0001642D" w:rsidRDefault="0001642D" w:rsidP="00442140">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757409">
        <w:rPr>
          <w:bCs/>
          <w:lang w:val="en"/>
        </w:rPr>
        <w:t>next r</w:t>
      </w:r>
      <w:r w:rsidR="004F6832" w:rsidRPr="000602F2">
        <w:rPr>
          <w:bCs/>
          <w:lang w:val="en"/>
        </w:rPr>
        <w:t>egula</w:t>
      </w:r>
      <w:r w:rsidR="00E75ACD" w:rsidRPr="000602F2">
        <w:rPr>
          <w:bCs/>
          <w:lang w:val="en"/>
        </w:rPr>
        <w:t>r meeting</w:t>
      </w:r>
      <w:r w:rsidR="00FA6C34">
        <w:rPr>
          <w:bCs/>
          <w:lang w:val="en"/>
        </w:rPr>
        <w:t>:</w:t>
      </w:r>
      <w:r w:rsidR="00990F82">
        <w:rPr>
          <w:bCs/>
          <w:lang w:val="en"/>
        </w:rPr>
        <w:t xml:space="preserve"> </w:t>
      </w:r>
      <w:r w:rsidR="0001642D">
        <w:rPr>
          <w:bCs/>
          <w:lang w:val="en"/>
        </w:rPr>
        <w:t>May 6</w:t>
      </w:r>
      <w:r w:rsidR="00A53EB2">
        <w:rPr>
          <w:bCs/>
          <w:lang w:val="en"/>
        </w:rPr>
        <w:t xml:space="preserve">, </w:t>
      </w:r>
      <w:r w:rsidR="00A94FD5">
        <w:rPr>
          <w:bCs/>
          <w:lang w:val="en"/>
        </w:rPr>
        <w:t>Board room; no mid-month meeting in May</w:t>
      </w:r>
      <w:r w:rsidR="009517C5">
        <w:rPr>
          <w:bCs/>
          <w:lang w:val="en"/>
        </w:rPr>
        <w:t>; following meeting June 17, Room C</w:t>
      </w:r>
    </w:p>
    <w:p w:rsidR="004F6832" w:rsidRPr="000602F2" w:rsidRDefault="004F6832" w:rsidP="000B566B">
      <w:pPr>
        <w:widowControl w:val="0"/>
        <w:autoSpaceDE w:val="0"/>
        <w:autoSpaceDN w:val="0"/>
        <w:adjustRightInd w:val="0"/>
        <w:spacing w:after="0" w:line="240" w:lineRule="auto"/>
        <w:rPr>
          <w:b/>
          <w:bCs/>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146B28">
        <w:rPr>
          <w:bCs/>
          <w:lang w:val="en"/>
        </w:rPr>
        <w:t xml:space="preserve">Dene </w:t>
      </w:r>
      <w:r w:rsidR="003F27A1">
        <w:rPr>
          <w:bCs/>
          <w:lang w:val="en"/>
        </w:rPr>
        <w:t>at</w:t>
      </w:r>
      <w:r w:rsidR="00533BC2">
        <w:rPr>
          <w:bCs/>
          <w:lang w:val="en"/>
        </w:rPr>
        <w:t xml:space="preserve"> </w:t>
      </w:r>
      <w:r w:rsidR="009517C5">
        <w:rPr>
          <w:bCs/>
          <w:lang w:val="en"/>
        </w:rPr>
        <w:t>11:58a</w:t>
      </w:r>
    </w:p>
    <w:p w:rsidR="00A53EB2" w:rsidRDefault="00A53EB2" w:rsidP="000B566B">
      <w:pPr>
        <w:widowControl w:val="0"/>
        <w:autoSpaceDE w:val="0"/>
        <w:autoSpaceDN w:val="0"/>
        <w:adjustRightInd w:val="0"/>
        <w:spacing w:after="0" w:line="240" w:lineRule="auto"/>
        <w:rPr>
          <w:b/>
          <w:lang w:val="en"/>
        </w:rPr>
      </w:pPr>
    </w:p>
    <w:p w:rsidR="00CA0754" w:rsidRDefault="00CA0754" w:rsidP="000B566B">
      <w:pPr>
        <w:widowControl w:val="0"/>
        <w:autoSpaceDE w:val="0"/>
        <w:autoSpaceDN w:val="0"/>
        <w:adjustRightInd w:val="0"/>
        <w:spacing w:after="0" w:line="240" w:lineRule="auto"/>
        <w:rPr>
          <w:lang w:val="en"/>
        </w:rPr>
      </w:pPr>
      <w:r w:rsidRPr="00CA0754">
        <w:rPr>
          <w:b/>
          <w:lang w:val="en"/>
        </w:rPr>
        <w:t>Post-Adjournment Discussion:</w:t>
      </w:r>
      <w:r>
        <w:rPr>
          <w:lang w:val="en"/>
        </w:rPr>
        <w:t xml:space="preserve"> </w:t>
      </w:r>
      <w:r w:rsidR="00F35F29">
        <w:rPr>
          <w:lang w:val="en"/>
        </w:rPr>
        <w:t>Nelson and Dene traded stocks: Nelson will follow PII, Dene will follow TSCO.</w:t>
      </w:r>
    </w:p>
    <w:p w:rsidR="00CA0754" w:rsidRDefault="00CA0754" w:rsidP="000B566B">
      <w:pPr>
        <w:widowControl w:val="0"/>
        <w:autoSpaceDE w:val="0"/>
        <w:autoSpaceDN w:val="0"/>
        <w:adjustRightInd w:val="0"/>
        <w:spacing w:after="0" w:line="240" w:lineRule="auto"/>
        <w:rPr>
          <w:lang w:val="en"/>
        </w:rPr>
      </w:pPr>
    </w:p>
    <w:p w:rsidR="00E77264"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D66C54">
        <w:rPr>
          <w:lang w:val="en"/>
        </w:rPr>
        <w:t xml:space="preserve"> Rich Alden, recording partner.</w:t>
      </w:r>
    </w:p>
    <w:p w:rsidR="00E051C9" w:rsidRDefault="00E051C9">
      <w:pPr>
        <w:rPr>
          <w:lang w:val="en"/>
        </w:rPr>
      </w:pPr>
      <w:r>
        <w:rPr>
          <w:lang w:val="en"/>
        </w:rPr>
        <w:br w:type="page"/>
      </w:r>
    </w:p>
    <w:p w:rsidR="004D7ABE" w:rsidRDefault="004D7ABE" w:rsidP="000B566B">
      <w:pPr>
        <w:widowControl w:val="0"/>
        <w:autoSpaceDE w:val="0"/>
        <w:autoSpaceDN w:val="0"/>
        <w:adjustRightInd w:val="0"/>
        <w:spacing w:after="0" w:line="240" w:lineRule="auto"/>
        <w:rPr>
          <w:lang w:val="en"/>
        </w:rPr>
      </w:pPr>
    </w:p>
    <w:p w:rsidR="004D7ABE" w:rsidRPr="000602F2" w:rsidRDefault="00E051C9" w:rsidP="000B566B">
      <w:pPr>
        <w:widowControl w:val="0"/>
        <w:autoSpaceDE w:val="0"/>
        <w:autoSpaceDN w:val="0"/>
        <w:adjustRightInd w:val="0"/>
        <w:spacing w:after="0" w:line="240" w:lineRule="auto"/>
        <w:rPr>
          <w:lang w:val="en"/>
        </w:rPr>
      </w:pPr>
      <w:r w:rsidRPr="00E051C9">
        <w:rPr>
          <w:noProof/>
        </w:rPr>
        <w:drawing>
          <wp:inline distT="0" distB="0" distL="0" distR="0">
            <wp:extent cx="8241528" cy="5040337"/>
            <wp:effectExtent l="317" t="0" r="7938" b="7937"/>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266148" cy="5055394"/>
                    </a:xfrm>
                    <a:prstGeom prst="rect">
                      <a:avLst/>
                    </a:prstGeom>
                    <a:noFill/>
                    <a:ln>
                      <a:noFill/>
                    </a:ln>
                  </pic:spPr>
                </pic:pic>
              </a:graphicData>
            </a:graphic>
          </wp:inline>
        </w:drawing>
      </w:r>
    </w:p>
    <w:sectPr w:rsidR="004D7ABE" w:rsidRPr="000602F2" w:rsidSect="00B42F2E">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B5" w:rsidRDefault="00F000B5" w:rsidP="002A4572">
      <w:pPr>
        <w:spacing w:after="0" w:line="240" w:lineRule="auto"/>
      </w:pPr>
      <w:r>
        <w:separator/>
      </w:r>
    </w:p>
  </w:endnote>
  <w:endnote w:type="continuationSeparator" w:id="0">
    <w:p w:rsidR="00F000B5" w:rsidRDefault="00F000B5"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C9" w:rsidRDefault="00E051C9">
    <w:pPr>
      <w:pStyle w:val="Footer"/>
      <w:jc w:val="right"/>
    </w:pPr>
    <w:r>
      <w:fldChar w:fldCharType="begin"/>
    </w:r>
    <w:r>
      <w:instrText xml:space="preserve"> PAGE   \* MERGEFORMAT </w:instrText>
    </w:r>
    <w:r>
      <w:fldChar w:fldCharType="separate"/>
    </w:r>
    <w:r w:rsidR="00EC7420">
      <w:rPr>
        <w:noProof/>
      </w:rPr>
      <w:t>4</w:t>
    </w:r>
    <w:r>
      <w:fldChar w:fldCharType="end"/>
    </w:r>
  </w:p>
  <w:p w:rsidR="00E051C9" w:rsidRDefault="00E05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B5" w:rsidRDefault="00F000B5" w:rsidP="002A4572">
      <w:pPr>
        <w:spacing w:after="0" w:line="240" w:lineRule="auto"/>
      </w:pPr>
      <w:r>
        <w:separator/>
      </w:r>
    </w:p>
  </w:footnote>
  <w:footnote w:type="continuationSeparator" w:id="0">
    <w:p w:rsidR="00F000B5" w:rsidRDefault="00F000B5"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3BD"/>
    <w:multiLevelType w:val="hybridMultilevel"/>
    <w:tmpl w:val="A746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E2373"/>
    <w:multiLevelType w:val="hybridMultilevel"/>
    <w:tmpl w:val="E8F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D545C"/>
    <w:multiLevelType w:val="hybridMultilevel"/>
    <w:tmpl w:val="1BF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75831"/>
    <w:multiLevelType w:val="hybridMultilevel"/>
    <w:tmpl w:val="1ECE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56544"/>
    <w:multiLevelType w:val="hybridMultilevel"/>
    <w:tmpl w:val="7A58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52B40"/>
    <w:multiLevelType w:val="hybridMultilevel"/>
    <w:tmpl w:val="E68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7115F"/>
    <w:multiLevelType w:val="hybridMultilevel"/>
    <w:tmpl w:val="162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8043A"/>
    <w:multiLevelType w:val="hybridMultilevel"/>
    <w:tmpl w:val="9C4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F29CE"/>
    <w:multiLevelType w:val="hybridMultilevel"/>
    <w:tmpl w:val="F700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A0AAF"/>
    <w:multiLevelType w:val="hybridMultilevel"/>
    <w:tmpl w:val="384E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7678C"/>
    <w:multiLevelType w:val="hybridMultilevel"/>
    <w:tmpl w:val="80F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9491C"/>
    <w:multiLevelType w:val="hybridMultilevel"/>
    <w:tmpl w:val="956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C7C1C"/>
    <w:multiLevelType w:val="hybridMultilevel"/>
    <w:tmpl w:val="1956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E0764"/>
    <w:multiLevelType w:val="hybridMultilevel"/>
    <w:tmpl w:val="6732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53584"/>
    <w:multiLevelType w:val="hybridMultilevel"/>
    <w:tmpl w:val="9E8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F2765"/>
    <w:multiLevelType w:val="hybridMultilevel"/>
    <w:tmpl w:val="07BC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3F5DA7"/>
    <w:multiLevelType w:val="hybridMultilevel"/>
    <w:tmpl w:val="1FBE43D6"/>
    <w:lvl w:ilvl="0" w:tplc="CB96AC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A81E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1080B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65F5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D6487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1AA98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B2243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28A7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E6A6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51527F37"/>
    <w:multiLevelType w:val="hybridMultilevel"/>
    <w:tmpl w:val="5AF00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D413D4"/>
    <w:multiLevelType w:val="hybridMultilevel"/>
    <w:tmpl w:val="7BC6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D46D39"/>
    <w:multiLevelType w:val="hybridMultilevel"/>
    <w:tmpl w:val="4404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35893"/>
    <w:multiLevelType w:val="hybridMultilevel"/>
    <w:tmpl w:val="A934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43443"/>
    <w:multiLevelType w:val="hybridMultilevel"/>
    <w:tmpl w:val="544C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071F5B"/>
    <w:multiLevelType w:val="hybridMultilevel"/>
    <w:tmpl w:val="3BD0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9A4A03"/>
    <w:multiLevelType w:val="hybridMultilevel"/>
    <w:tmpl w:val="129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0377F3"/>
    <w:multiLevelType w:val="hybridMultilevel"/>
    <w:tmpl w:val="0318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4"/>
  </w:num>
  <w:num w:numId="4">
    <w:abstractNumId w:val="30"/>
  </w:num>
  <w:num w:numId="5">
    <w:abstractNumId w:val="33"/>
  </w:num>
  <w:num w:numId="6">
    <w:abstractNumId w:val="26"/>
  </w:num>
  <w:num w:numId="7">
    <w:abstractNumId w:val="7"/>
  </w:num>
  <w:num w:numId="8">
    <w:abstractNumId w:val="16"/>
  </w:num>
  <w:num w:numId="9">
    <w:abstractNumId w:val="14"/>
  </w:num>
  <w:num w:numId="10">
    <w:abstractNumId w:val="20"/>
  </w:num>
  <w:num w:numId="11">
    <w:abstractNumId w:val="1"/>
  </w:num>
  <w:num w:numId="12">
    <w:abstractNumId w:val="31"/>
  </w:num>
  <w:num w:numId="13">
    <w:abstractNumId w:val="23"/>
  </w:num>
  <w:num w:numId="14">
    <w:abstractNumId w:val="10"/>
  </w:num>
  <w:num w:numId="15">
    <w:abstractNumId w:val="28"/>
  </w:num>
  <w:num w:numId="16">
    <w:abstractNumId w:val="32"/>
  </w:num>
  <w:num w:numId="17">
    <w:abstractNumId w:val="29"/>
  </w:num>
  <w:num w:numId="18">
    <w:abstractNumId w:val="8"/>
  </w:num>
  <w:num w:numId="19">
    <w:abstractNumId w:val="12"/>
  </w:num>
  <w:num w:numId="20">
    <w:abstractNumId w:val="4"/>
  </w:num>
  <w:num w:numId="21">
    <w:abstractNumId w:val="5"/>
  </w:num>
  <w:num w:numId="22">
    <w:abstractNumId w:val="21"/>
  </w:num>
  <w:num w:numId="23">
    <w:abstractNumId w:val="6"/>
  </w:num>
  <w:num w:numId="24">
    <w:abstractNumId w:val="13"/>
  </w:num>
  <w:num w:numId="25">
    <w:abstractNumId w:val="18"/>
  </w:num>
  <w:num w:numId="26">
    <w:abstractNumId w:val="0"/>
  </w:num>
  <w:num w:numId="27">
    <w:abstractNumId w:val="25"/>
  </w:num>
  <w:num w:numId="28">
    <w:abstractNumId w:val="27"/>
  </w:num>
  <w:num w:numId="29">
    <w:abstractNumId w:val="22"/>
  </w:num>
  <w:num w:numId="30">
    <w:abstractNumId w:val="19"/>
  </w:num>
  <w:num w:numId="31">
    <w:abstractNumId w:val="17"/>
  </w:num>
  <w:num w:numId="32">
    <w:abstractNumId w:val="9"/>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616C"/>
    <w:rsid w:val="00011ED0"/>
    <w:rsid w:val="000142BF"/>
    <w:rsid w:val="0001642D"/>
    <w:rsid w:val="00023178"/>
    <w:rsid w:val="0004005C"/>
    <w:rsid w:val="0004038A"/>
    <w:rsid w:val="00041055"/>
    <w:rsid w:val="00041373"/>
    <w:rsid w:val="00043E86"/>
    <w:rsid w:val="0005074D"/>
    <w:rsid w:val="00054759"/>
    <w:rsid w:val="000602F2"/>
    <w:rsid w:val="00062049"/>
    <w:rsid w:val="00071C39"/>
    <w:rsid w:val="00076101"/>
    <w:rsid w:val="00092D74"/>
    <w:rsid w:val="000A73A4"/>
    <w:rsid w:val="000B0517"/>
    <w:rsid w:val="000B0529"/>
    <w:rsid w:val="000B183D"/>
    <w:rsid w:val="000B422E"/>
    <w:rsid w:val="000B566B"/>
    <w:rsid w:val="000D2A9F"/>
    <w:rsid w:val="000D4AB7"/>
    <w:rsid w:val="000E4EB2"/>
    <w:rsid w:val="000F593C"/>
    <w:rsid w:val="00102270"/>
    <w:rsid w:val="00102C0E"/>
    <w:rsid w:val="00121C90"/>
    <w:rsid w:val="00123D4D"/>
    <w:rsid w:val="00130073"/>
    <w:rsid w:val="00142072"/>
    <w:rsid w:val="00142673"/>
    <w:rsid w:val="0014445E"/>
    <w:rsid w:val="00146B28"/>
    <w:rsid w:val="0014761F"/>
    <w:rsid w:val="0015170B"/>
    <w:rsid w:val="00161D17"/>
    <w:rsid w:val="00162F92"/>
    <w:rsid w:val="00184D03"/>
    <w:rsid w:val="001866F5"/>
    <w:rsid w:val="001A4E93"/>
    <w:rsid w:val="001B330B"/>
    <w:rsid w:val="001B4C52"/>
    <w:rsid w:val="001F1D61"/>
    <w:rsid w:val="00200C02"/>
    <w:rsid w:val="0020493D"/>
    <w:rsid w:val="00212C54"/>
    <w:rsid w:val="00213D79"/>
    <w:rsid w:val="002268FB"/>
    <w:rsid w:val="00241743"/>
    <w:rsid w:val="002547D0"/>
    <w:rsid w:val="00266818"/>
    <w:rsid w:val="0027713C"/>
    <w:rsid w:val="002864DE"/>
    <w:rsid w:val="002A4572"/>
    <w:rsid w:val="002A4B0C"/>
    <w:rsid w:val="002A5BD2"/>
    <w:rsid w:val="002B69FE"/>
    <w:rsid w:val="002B6D6C"/>
    <w:rsid w:val="002B79E6"/>
    <w:rsid w:val="002B7AC2"/>
    <w:rsid w:val="002C0F69"/>
    <w:rsid w:val="002C3DA7"/>
    <w:rsid w:val="002C48A3"/>
    <w:rsid w:val="002D6E53"/>
    <w:rsid w:val="002D7FF2"/>
    <w:rsid w:val="002E33B4"/>
    <w:rsid w:val="002F4B06"/>
    <w:rsid w:val="002F512B"/>
    <w:rsid w:val="00304C2A"/>
    <w:rsid w:val="00306CDE"/>
    <w:rsid w:val="0031106E"/>
    <w:rsid w:val="00320FF0"/>
    <w:rsid w:val="00333048"/>
    <w:rsid w:val="003369AD"/>
    <w:rsid w:val="00336C5A"/>
    <w:rsid w:val="00340A2F"/>
    <w:rsid w:val="00341E4D"/>
    <w:rsid w:val="00343C25"/>
    <w:rsid w:val="00344702"/>
    <w:rsid w:val="00344CB3"/>
    <w:rsid w:val="0036182A"/>
    <w:rsid w:val="00363FC2"/>
    <w:rsid w:val="003710AB"/>
    <w:rsid w:val="00372C9D"/>
    <w:rsid w:val="00376370"/>
    <w:rsid w:val="00382376"/>
    <w:rsid w:val="003A127D"/>
    <w:rsid w:val="003B163B"/>
    <w:rsid w:val="003C3387"/>
    <w:rsid w:val="003C5747"/>
    <w:rsid w:val="003D0018"/>
    <w:rsid w:val="003F2240"/>
    <w:rsid w:val="003F27A1"/>
    <w:rsid w:val="004043D4"/>
    <w:rsid w:val="00417B27"/>
    <w:rsid w:val="00440BE4"/>
    <w:rsid w:val="00440E14"/>
    <w:rsid w:val="004412F0"/>
    <w:rsid w:val="004417A7"/>
    <w:rsid w:val="00442140"/>
    <w:rsid w:val="0044305D"/>
    <w:rsid w:val="004703BC"/>
    <w:rsid w:val="00487E71"/>
    <w:rsid w:val="004A6076"/>
    <w:rsid w:val="004B4940"/>
    <w:rsid w:val="004B636E"/>
    <w:rsid w:val="004C0F9F"/>
    <w:rsid w:val="004D2844"/>
    <w:rsid w:val="004D7ABE"/>
    <w:rsid w:val="004E367E"/>
    <w:rsid w:val="004F1404"/>
    <w:rsid w:val="004F6832"/>
    <w:rsid w:val="00500094"/>
    <w:rsid w:val="0050308A"/>
    <w:rsid w:val="00513DEC"/>
    <w:rsid w:val="00514B85"/>
    <w:rsid w:val="00532EFC"/>
    <w:rsid w:val="00533BC2"/>
    <w:rsid w:val="00543320"/>
    <w:rsid w:val="005563A0"/>
    <w:rsid w:val="00570BB0"/>
    <w:rsid w:val="005742AE"/>
    <w:rsid w:val="0057722D"/>
    <w:rsid w:val="00590F3A"/>
    <w:rsid w:val="00591250"/>
    <w:rsid w:val="005A1684"/>
    <w:rsid w:val="005A584F"/>
    <w:rsid w:val="005A5ED9"/>
    <w:rsid w:val="005B565F"/>
    <w:rsid w:val="005C6CB3"/>
    <w:rsid w:val="005D1C17"/>
    <w:rsid w:val="005D2740"/>
    <w:rsid w:val="005D785D"/>
    <w:rsid w:val="005E106F"/>
    <w:rsid w:val="00612188"/>
    <w:rsid w:val="006308F8"/>
    <w:rsid w:val="006408F8"/>
    <w:rsid w:val="00653B91"/>
    <w:rsid w:val="00657F5D"/>
    <w:rsid w:val="006757D1"/>
    <w:rsid w:val="006757D2"/>
    <w:rsid w:val="006804AE"/>
    <w:rsid w:val="006855DF"/>
    <w:rsid w:val="006939A2"/>
    <w:rsid w:val="006A3CE7"/>
    <w:rsid w:val="006A4018"/>
    <w:rsid w:val="006D47B7"/>
    <w:rsid w:val="006D512F"/>
    <w:rsid w:val="006E14D3"/>
    <w:rsid w:val="006E14F8"/>
    <w:rsid w:val="006E1D1B"/>
    <w:rsid w:val="0070192B"/>
    <w:rsid w:val="00704FD3"/>
    <w:rsid w:val="0071468F"/>
    <w:rsid w:val="00743A99"/>
    <w:rsid w:val="0074455D"/>
    <w:rsid w:val="00757409"/>
    <w:rsid w:val="00761AFE"/>
    <w:rsid w:val="007731F2"/>
    <w:rsid w:val="00787C66"/>
    <w:rsid w:val="0079379A"/>
    <w:rsid w:val="007A042B"/>
    <w:rsid w:val="007B2BE5"/>
    <w:rsid w:val="007C1C36"/>
    <w:rsid w:val="007C6B15"/>
    <w:rsid w:val="007D2BD0"/>
    <w:rsid w:val="007D3E56"/>
    <w:rsid w:val="007F3D76"/>
    <w:rsid w:val="00801258"/>
    <w:rsid w:val="008148B7"/>
    <w:rsid w:val="00822D3F"/>
    <w:rsid w:val="008330CB"/>
    <w:rsid w:val="00834BAB"/>
    <w:rsid w:val="00835C17"/>
    <w:rsid w:val="00837358"/>
    <w:rsid w:val="00840DE2"/>
    <w:rsid w:val="00841DFD"/>
    <w:rsid w:val="00844AA9"/>
    <w:rsid w:val="008511CF"/>
    <w:rsid w:val="0085590E"/>
    <w:rsid w:val="008703DF"/>
    <w:rsid w:val="00872D34"/>
    <w:rsid w:val="00876DDF"/>
    <w:rsid w:val="00876F21"/>
    <w:rsid w:val="00881144"/>
    <w:rsid w:val="0088178E"/>
    <w:rsid w:val="00890171"/>
    <w:rsid w:val="008945B0"/>
    <w:rsid w:val="00894994"/>
    <w:rsid w:val="0089734D"/>
    <w:rsid w:val="008B2E1F"/>
    <w:rsid w:val="008C2306"/>
    <w:rsid w:val="008D1069"/>
    <w:rsid w:val="008D2086"/>
    <w:rsid w:val="008D2FE0"/>
    <w:rsid w:val="008E42EB"/>
    <w:rsid w:val="008E77AA"/>
    <w:rsid w:val="00901138"/>
    <w:rsid w:val="009061FC"/>
    <w:rsid w:val="00913C85"/>
    <w:rsid w:val="0091497E"/>
    <w:rsid w:val="009517C5"/>
    <w:rsid w:val="00957404"/>
    <w:rsid w:val="00972EA1"/>
    <w:rsid w:val="00990F82"/>
    <w:rsid w:val="00991AC8"/>
    <w:rsid w:val="009A7A14"/>
    <w:rsid w:val="009B1F89"/>
    <w:rsid w:val="009C29AF"/>
    <w:rsid w:val="009D0FF6"/>
    <w:rsid w:val="009F5EFD"/>
    <w:rsid w:val="00A04ECD"/>
    <w:rsid w:val="00A070AC"/>
    <w:rsid w:val="00A15BF4"/>
    <w:rsid w:val="00A20120"/>
    <w:rsid w:val="00A26E53"/>
    <w:rsid w:val="00A36680"/>
    <w:rsid w:val="00A53EB2"/>
    <w:rsid w:val="00A76333"/>
    <w:rsid w:val="00A94FD5"/>
    <w:rsid w:val="00AA3A1E"/>
    <w:rsid w:val="00AB46F0"/>
    <w:rsid w:val="00AC1C8A"/>
    <w:rsid w:val="00AC793D"/>
    <w:rsid w:val="00AE61B6"/>
    <w:rsid w:val="00B0188A"/>
    <w:rsid w:val="00B06799"/>
    <w:rsid w:val="00B173FA"/>
    <w:rsid w:val="00B35A0B"/>
    <w:rsid w:val="00B41922"/>
    <w:rsid w:val="00B42F2E"/>
    <w:rsid w:val="00B53B2F"/>
    <w:rsid w:val="00B63B90"/>
    <w:rsid w:val="00B67333"/>
    <w:rsid w:val="00B67F82"/>
    <w:rsid w:val="00B775D9"/>
    <w:rsid w:val="00BC49F7"/>
    <w:rsid w:val="00BD1726"/>
    <w:rsid w:val="00BD4A4C"/>
    <w:rsid w:val="00BE14CB"/>
    <w:rsid w:val="00BE6EB8"/>
    <w:rsid w:val="00BE74E2"/>
    <w:rsid w:val="00BF3BCC"/>
    <w:rsid w:val="00BF4F1E"/>
    <w:rsid w:val="00C00CE2"/>
    <w:rsid w:val="00C02C89"/>
    <w:rsid w:val="00C166AF"/>
    <w:rsid w:val="00C2232A"/>
    <w:rsid w:val="00C355E5"/>
    <w:rsid w:val="00C37DEC"/>
    <w:rsid w:val="00C42378"/>
    <w:rsid w:val="00C5266C"/>
    <w:rsid w:val="00C63116"/>
    <w:rsid w:val="00C6768F"/>
    <w:rsid w:val="00C71C61"/>
    <w:rsid w:val="00C741EF"/>
    <w:rsid w:val="00C90762"/>
    <w:rsid w:val="00CA0754"/>
    <w:rsid w:val="00CA1FB3"/>
    <w:rsid w:val="00CA379A"/>
    <w:rsid w:val="00CC45F4"/>
    <w:rsid w:val="00CC6D06"/>
    <w:rsid w:val="00CE0978"/>
    <w:rsid w:val="00CE545B"/>
    <w:rsid w:val="00D05C3E"/>
    <w:rsid w:val="00D106F5"/>
    <w:rsid w:val="00D11EB5"/>
    <w:rsid w:val="00D150D2"/>
    <w:rsid w:val="00D274C1"/>
    <w:rsid w:val="00D31E74"/>
    <w:rsid w:val="00D33585"/>
    <w:rsid w:val="00D435C4"/>
    <w:rsid w:val="00D66C54"/>
    <w:rsid w:val="00DB5B19"/>
    <w:rsid w:val="00DC3DBD"/>
    <w:rsid w:val="00DC5693"/>
    <w:rsid w:val="00DD0D0D"/>
    <w:rsid w:val="00DD2ECA"/>
    <w:rsid w:val="00DF0306"/>
    <w:rsid w:val="00DF2EFB"/>
    <w:rsid w:val="00E051C9"/>
    <w:rsid w:val="00E1011D"/>
    <w:rsid w:val="00E249AA"/>
    <w:rsid w:val="00E270AF"/>
    <w:rsid w:val="00E41675"/>
    <w:rsid w:val="00E47F72"/>
    <w:rsid w:val="00E533E4"/>
    <w:rsid w:val="00E60C79"/>
    <w:rsid w:val="00E63305"/>
    <w:rsid w:val="00E75548"/>
    <w:rsid w:val="00E75ACD"/>
    <w:rsid w:val="00E769B1"/>
    <w:rsid w:val="00E77264"/>
    <w:rsid w:val="00E774FA"/>
    <w:rsid w:val="00E86EDF"/>
    <w:rsid w:val="00E911CC"/>
    <w:rsid w:val="00EA2B60"/>
    <w:rsid w:val="00EA46EE"/>
    <w:rsid w:val="00EA76BA"/>
    <w:rsid w:val="00EB1912"/>
    <w:rsid w:val="00EB2FB1"/>
    <w:rsid w:val="00EB6B68"/>
    <w:rsid w:val="00EC0822"/>
    <w:rsid w:val="00EC308C"/>
    <w:rsid w:val="00EC46D8"/>
    <w:rsid w:val="00EC7420"/>
    <w:rsid w:val="00EC792C"/>
    <w:rsid w:val="00ED3C5D"/>
    <w:rsid w:val="00EE2FC6"/>
    <w:rsid w:val="00EE724A"/>
    <w:rsid w:val="00F000B5"/>
    <w:rsid w:val="00F04FD1"/>
    <w:rsid w:val="00F0623C"/>
    <w:rsid w:val="00F07A92"/>
    <w:rsid w:val="00F10B7E"/>
    <w:rsid w:val="00F32287"/>
    <w:rsid w:val="00F33257"/>
    <w:rsid w:val="00F35F29"/>
    <w:rsid w:val="00F42A28"/>
    <w:rsid w:val="00F50DE0"/>
    <w:rsid w:val="00F54665"/>
    <w:rsid w:val="00F8478F"/>
    <w:rsid w:val="00FA3914"/>
    <w:rsid w:val="00FA6C34"/>
    <w:rsid w:val="00FB253F"/>
    <w:rsid w:val="00FB360E"/>
    <w:rsid w:val="00FB5BCA"/>
    <w:rsid w:val="00FB6AC3"/>
    <w:rsid w:val="00FC1C43"/>
    <w:rsid w:val="00FD2076"/>
    <w:rsid w:val="00FD4E4E"/>
    <w:rsid w:val="00FD57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 w:type="table" w:customStyle="1" w:styleId="TableGrid">
    <w:name w:val="TableGrid"/>
    <w:rsid w:val="00142072"/>
    <w:pPr>
      <w:spacing w:after="0" w:line="240" w:lineRule="auto"/>
    </w:pPr>
    <w:rPr>
      <w:rFonts w:cstheme="minorBidi"/>
    </w:rPr>
    <w:tblPr>
      <w:tblCellMar>
        <w:top w:w="0" w:type="dxa"/>
        <w:left w:w="0" w:type="dxa"/>
        <w:bottom w:w="0" w:type="dxa"/>
        <w:right w:w="0" w:type="dxa"/>
      </w:tblCellMar>
    </w:tblPr>
  </w:style>
  <w:style w:type="paragraph" w:styleId="NoSpacing">
    <w:name w:val="No Spacing"/>
    <w:uiPriority w:val="1"/>
    <w:qFormat/>
    <w:rsid w:val="00DF0306"/>
    <w:pPr>
      <w:spacing w:after="0" w:line="240" w:lineRule="auto"/>
    </w:pPr>
    <w:rPr>
      <w:rFonts w:ascii="Times New Roman" w:eastAsia="Calibri" w:hAnsi="Times New Roman" w:cs="Calibri"/>
      <w:color w:val="000000"/>
      <w:sz w:val="20"/>
    </w:rPr>
  </w:style>
  <w:style w:type="table" w:styleId="TableGrid0">
    <w:name w:val="Table Grid"/>
    <w:basedOn w:val="TableNormal"/>
    <w:uiPriority w:val="39"/>
    <w:rsid w:val="00DF030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9151">
      <w:bodyDiv w:val="1"/>
      <w:marLeft w:val="0"/>
      <w:marRight w:val="0"/>
      <w:marTop w:val="0"/>
      <w:marBottom w:val="0"/>
      <w:divBdr>
        <w:top w:val="none" w:sz="0" w:space="0" w:color="auto"/>
        <w:left w:val="none" w:sz="0" w:space="0" w:color="auto"/>
        <w:bottom w:val="none" w:sz="0" w:space="0" w:color="auto"/>
        <w:right w:val="none" w:sz="0" w:space="0" w:color="auto"/>
      </w:divBdr>
    </w:div>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1072777731">
      <w:bodyDiv w:val="1"/>
      <w:marLeft w:val="0"/>
      <w:marRight w:val="0"/>
      <w:marTop w:val="0"/>
      <w:marBottom w:val="0"/>
      <w:divBdr>
        <w:top w:val="none" w:sz="0" w:space="0" w:color="auto"/>
        <w:left w:val="none" w:sz="0" w:space="0" w:color="auto"/>
        <w:bottom w:val="none" w:sz="0" w:space="0" w:color="auto"/>
        <w:right w:val="none" w:sz="0" w:space="0" w:color="auto"/>
      </w:divBdr>
    </w:div>
    <w:div w:id="1152336064">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66th-annual-betterinvesting-national-convention-tickets-25557210304?aff=es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eventbrite.com/e/betterinvesting-national-convention-2017-free-public-day--tickets-32928498024?aff=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3CEC-B6BC-4290-9838-5BD0A176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4111</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cp:lastModifiedBy>
  <cp:revision>13</cp:revision>
  <cp:lastPrinted>2017-04-14T22:21:00Z</cp:lastPrinted>
  <dcterms:created xsi:type="dcterms:W3CDTF">2017-04-09T02:42:00Z</dcterms:created>
  <dcterms:modified xsi:type="dcterms:W3CDTF">2017-04-17T14:44:00Z</dcterms:modified>
</cp:coreProperties>
</file>