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sidR="004417A7">
        <w:rPr>
          <w:bCs/>
          <w:lang w:val="en"/>
        </w:rPr>
        <w:t>oint</w:t>
      </w:r>
      <w:r w:rsidR="00041373">
        <w:rPr>
          <w:bCs/>
          <w:lang w:val="en"/>
        </w:rPr>
        <w:t>e</w:t>
      </w:r>
      <w:r w:rsidR="00876397">
        <w:rPr>
          <w:bCs/>
          <w:lang w:val="en"/>
        </w:rPr>
        <w:t xml:space="preserve"> Library – Jun 17</w:t>
      </w:r>
      <w:r w:rsidR="0036182A">
        <w:rPr>
          <w:bCs/>
          <w:lang w:val="en"/>
        </w:rPr>
        <w:t>, 2017</w:t>
      </w:r>
    </w:p>
    <w:p w:rsidR="00440BE4" w:rsidRPr="000602F2" w:rsidRDefault="00440BE4" w:rsidP="000B566B">
      <w:pPr>
        <w:widowControl w:val="0"/>
        <w:autoSpaceDE w:val="0"/>
        <w:autoSpaceDN w:val="0"/>
        <w:adjustRightInd w:val="0"/>
        <w:spacing w:after="0" w:line="240" w:lineRule="auto"/>
        <w:rPr>
          <w:b/>
          <w:bCs/>
          <w:lang w:val="en"/>
        </w:rPr>
      </w:pPr>
    </w:p>
    <w:p w:rsidR="00FB6AC3"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w:t>
      </w:r>
      <w:r w:rsidRPr="00041373">
        <w:rPr>
          <w:bCs/>
          <w:lang w:val="en"/>
        </w:rPr>
        <w:t xml:space="preserve"> </w:t>
      </w:r>
      <w:r w:rsidR="00041373">
        <w:rPr>
          <w:bCs/>
          <w:lang w:val="en"/>
        </w:rPr>
        <w:t>Presiding Partner</w:t>
      </w:r>
      <w:r w:rsidR="00266818">
        <w:rPr>
          <w:bCs/>
          <w:lang w:val="en"/>
        </w:rPr>
        <w:t xml:space="preserve"> Dene Alden</w:t>
      </w:r>
      <w:r w:rsidRPr="000602F2">
        <w:rPr>
          <w:lang w:val="en"/>
        </w:rPr>
        <w:t xml:space="preserve"> cal</w:t>
      </w:r>
      <w:r w:rsidR="00CA1FB3" w:rsidRPr="000602F2">
        <w:rPr>
          <w:lang w:val="en"/>
        </w:rPr>
        <w:t xml:space="preserve">led the meeting to order at </w:t>
      </w:r>
      <w:r w:rsidR="00B24F26">
        <w:rPr>
          <w:lang w:val="en"/>
        </w:rPr>
        <w:t>9:</w:t>
      </w:r>
      <w:r w:rsidR="00A7370D">
        <w:rPr>
          <w:lang w:val="en"/>
        </w:rPr>
        <w:t>46</w:t>
      </w:r>
      <w:r w:rsidR="000A73A4" w:rsidRPr="000602F2">
        <w:rPr>
          <w:lang w:val="en"/>
        </w:rPr>
        <w:t xml:space="preserve">AM.  </w:t>
      </w:r>
      <w:r w:rsidR="000A73A4" w:rsidRPr="000602F2">
        <w:rPr>
          <w:b/>
          <w:i/>
          <w:lang w:val="en"/>
        </w:rPr>
        <w:t>Guests on webinar</w:t>
      </w:r>
      <w:r w:rsidRPr="000602F2">
        <w:rPr>
          <w:b/>
          <w:i/>
          <w:lang w:val="en"/>
        </w:rPr>
        <w:t>:</w:t>
      </w:r>
      <w:r w:rsidR="006D47B7">
        <w:rPr>
          <w:b/>
          <w:i/>
          <w:lang w:val="en"/>
        </w:rPr>
        <w:t xml:space="preserve"> </w:t>
      </w:r>
      <w:r w:rsidR="00F03DC3">
        <w:rPr>
          <w:lang w:val="en"/>
        </w:rPr>
        <w:t xml:space="preserve">Linda Margolis, Henrietta </w:t>
      </w:r>
      <w:proofErr w:type="spellStart"/>
      <w:r w:rsidR="00F03DC3">
        <w:rPr>
          <w:lang w:val="en"/>
        </w:rPr>
        <w:t>Go</w:t>
      </w:r>
      <w:r w:rsidR="003B0A91">
        <w:rPr>
          <w:lang w:val="en"/>
        </w:rPr>
        <w:t>o</w:t>
      </w:r>
      <w:r w:rsidR="00F03DC3">
        <w:rPr>
          <w:lang w:val="en"/>
        </w:rPr>
        <w:t>lsby</w:t>
      </w:r>
      <w:proofErr w:type="spellEnd"/>
      <w:r w:rsidR="00B24F26">
        <w:rPr>
          <w:lang w:val="en"/>
        </w:rPr>
        <w:t>;</w:t>
      </w:r>
      <w:r w:rsidR="00F33257">
        <w:rPr>
          <w:lang w:val="en"/>
        </w:rPr>
        <w:t xml:space="preserve"> </w:t>
      </w:r>
      <w:r w:rsidR="00F33257" w:rsidRPr="008E42EB">
        <w:rPr>
          <w:b/>
          <w:i/>
          <w:lang w:val="en"/>
        </w:rPr>
        <w:t>G</w:t>
      </w:r>
      <w:r w:rsidRPr="000602F2">
        <w:rPr>
          <w:b/>
          <w:i/>
          <w:lang w:val="en"/>
        </w:rPr>
        <w:t xml:space="preserve">uests </w:t>
      </w:r>
      <w:r w:rsidR="000A73A4" w:rsidRPr="000602F2">
        <w:rPr>
          <w:b/>
          <w:i/>
          <w:lang w:val="en"/>
        </w:rPr>
        <w:t>in person</w:t>
      </w:r>
      <w:r w:rsidRPr="000602F2">
        <w:rPr>
          <w:b/>
          <w:i/>
          <w:lang w:val="en"/>
        </w:rPr>
        <w:t>:</w:t>
      </w:r>
      <w:r w:rsidR="00417B27">
        <w:rPr>
          <w:lang w:val="en"/>
        </w:rPr>
        <w:t xml:space="preserve"> </w:t>
      </w:r>
      <w:r w:rsidR="00F03DC3">
        <w:rPr>
          <w:lang w:val="en"/>
        </w:rPr>
        <w:t xml:space="preserve">Glenna </w:t>
      </w:r>
      <w:proofErr w:type="spellStart"/>
      <w:r w:rsidR="00F03DC3">
        <w:rPr>
          <w:lang w:val="en"/>
        </w:rPr>
        <w:t>Baumbaugh</w:t>
      </w:r>
      <w:proofErr w:type="spellEnd"/>
      <w:r w:rsidR="00F03DC3">
        <w:rPr>
          <w:lang w:val="en"/>
        </w:rPr>
        <w:t xml:space="preserve">, Michael </w:t>
      </w:r>
      <w:proofErr w:type="spellStart"/>
      <w:r w:rsidR="00F03DC3">
        <w:rPr>
          <w:lang w:val="en"/>
        </w:rPr>
        <w:t>Howcroft</w:t>
      </w:r>
      <w:proofErr w:type="spellEnd"/>
      <w:r w:rsidR="00F03DC3">
        <w:rPr>
          <w:lang w:val="en"/>
        </w:rPr>
        <w:t xml:space="preserve">, </w:t>
      </w:r>
      <w:proofErr w:type="gramStart"/>
      <w:r w:rsidR="00F03DC3">
        <w:rPr>
          <w:lang w:val="en"/>
        </w:rPr>
        <w:t>Jason</w:t>
      </w:r>
      <w:proofErr w:type="gramEnd"/>
      <w:r w:rsidR="00F03DC3">
        <w:rPr>
          <w:lang w:val="en"/>
        </w:rPr>
        <w:t xml:space="preserve"> </w:t>
      </w:r>
      <w:proofErr w:type="spellStart"/>
      <w:r w:rsidR="00F03DC3">
        <w:rPr>
          <w:lang w:val="en"/>
        </w:rPr>
        <w:t>Ramage</w:t>
      </w:r>
      <w:proofErr w:type="spellEnd"/>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235"/>
        <w:gridCol w:w="990"/>
        <w:gridCol w:w="1080"/>
        <w:gridCol w:w="2880"/>
        <w:gridCol w:w="810"/>
        <w:gridCol w:w="1260"/>
      </w:tblGrid>
      <w:tr w:rsidR="00440BE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r>
      <w:tr w:rsidR="00D31E74" w:rsidRPr="000602F2" w:rsidTr="009C29AF">
        <w:trPr>
          <w:trHeight w:val="25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Jackie </w:t>
            </w:r>
            <w:proofErr w:type="spellStart"/>
            <w:r w:rsidRPr="00F33257">
              <w:rPr>
                <w:lang w:val="en"/>
              </w:rPr>
              <w:t>Koski</w:t>
            </w:r>
            <w:proofErr w:type="spellEnd"/>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162F92" w:rsidP="00D31E74">
            <w:pPr>
              <w:widowControl w:val="0"/>
              <w:autoSpaceDE w:val="0"/>
              <w:autoSpaceDN w:val="0"/>
              <w:adjustRightInd w:val="0"/>
              <w:spacing w:after="0" w:line="240" w:lineRule="auto"/>
              <w:jc w:val="center"/>
              <w:rPr>
                <w:lang w:val="en"/>
              </w:rPr>
            </w:pPr>
            <w:r>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Harrison </w:t>
            </w:r>
            <w:proofErr w:type="spellStart"/>
            <w:r w:rsidRPr="00F33257">
              <w:rPr>
                <w:lang w:val="en"/>
              </w:rPr>
              <w:t>Baumbaugh</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03DC3" w:rsidP="00D31E74">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Ian Barnes</w:t>
            </w:r>
            <w:r w:rsidR="009C29AF">
              <w:rPr>
                <w:lang w:val="en"/>
              </w:rPr>
              <w:t>, Education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B6AC3" w:rsidP="00FB6AC3">
            <w:pPr>
              <w:widowControl w:val="0"/>
              <w:autoSpaceDE w:val="0"/>
              <w:autoSpaceDN w:val="0"/>
              <w:adjustRightInd w:val="0"/>
              <w:spacing w:after="0" w:line="240" w:lineRule="auto"/>
              <w:jc w:val="center"/>
              <w:rPr>
                <w:lang w:val="en"/>
              </w:rPr>
            </w:pPr>
            <w:r>
              <w:rPr>
                <w:lang w:val="en"/>
              </w:rPr>
              <w:t>(Marty)</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52501D" w:rsidP="00D31E74">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487E71">
            <w:pPr>
              <w:widowControl w:val="0"/>
              <w:autoSpaceDE w:val="0"/>
              <w:autoSpaceDN w:val="0"/>
              <w:adjustRightInd w:val="0"/>
              <w:spacing w:after="0" w:line="240" w:lineRule="auto"/>
              <w:jc w:val="center"/>
              <w:rPr>
                <w:lang w:val="en"/>
              </w:rPr>
            </w:pPr>
          </w:p>
        </w:tc>
      </w:tr>
      <w:tr w:rsidR="00EB1912"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Betsy Eller, Financial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03DC3" w:rsidP="00EB1912">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Gregg Hopkins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r>
      <w:tr w:rsidR="00EB1912" w:rsidRPr="000602F2" w:rsidTr="009C29AF">
        <w:trPr>
          <w:trHeight w:val="170"/>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Craig Jacobsen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 xml:space="preserve">Larry </w:t>
            </w:r>
            <w:proofErr w:type="spellStart"/>
            <w:r w:rsidRPr="00F33257">
              <w:rPr>
                <w:lang w:val="en"/>
              </w:rPr>
              <w:t>Averbeck</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r>
      <w:tr w:rsidR="00E474FC"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Marty Eckerle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r>
      <w:tr w:rsidR="00E474FC"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 xml:space="preserve">Gerry </w:t>
            </w:r>
            <w:proofErr w:type="spellStart"/>
            <w:r w:rsidRPr="00F33257">
              <w:rPr>
                <w:lang w:val="en"/>
              </w:rPr>
              <w:t>Geverdt</w:t>
            </w:r>
            <w:proofErr w:type="spellEnd"/>
            <w:r w:rsidRPr="00F33257">
              <w:rPr>
                <w:lang w:val="en"/>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 xml:space="preserve">Michele </w:t>
            </w:r>
            <w:proofErr w:type="spellStart"/>
            <w:r w:rsidRPr="00F33257">
              <w:rPr>
                <w:lang w:val="en"/>
              </w:rPr>
              <w:t>Grinoch</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r>
      <w:tr w:rsidR="00E474FC"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Dene Alden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F03DC3" w:rsidP="00E474FC">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r>
      <w:tr w:rsidR="00E474FC" w:rsidRPr="000602F2" w:rsidTr="009C29A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Latisha Douglas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Pr>
                <w:lang w:val="en"/>
              </w:rPr>
              <w:t>Nelson Page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F03DC3" w:rsidP="00E474FC">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r>
      <w:tr w:rsidR="00E474FC" w:rsidRPr="000602F2" w:rsidTr="009C29A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Richard Alden</w:t>
            </w:r>
            <w:r>
              <w:rPr>
                <w:lang w:val="en"/>
              </w:rPr>
              <w:t>, Recording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146B28" w:rsidRDefault="00146B28" w:rsidP="000B566B">
      <w:pPr>
        <w:widowControl w:val="0"/>
        <w:autoSpaceDE w:val="0"/>
        <w:autoSpaceDN w:val="0"/>
        <w:adjustRightInd w:val="0"/>
        <w:spacing w:after="0" w:line="240" w:lineRule="auto"/>
        <w:rPr>
          <w:b/>
          <w:bCs/>
          <w:u w:val="single"/>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Recording Partner’s Report</w:t>
      </w:r>
      <w:r w:rsidRPr="000602F2">
        <w:rPr>
          <w:b/>
          <w:bCs/>
          <w:lang w:val="en"/>
        </w:rPr>
        <w:t>:</w:t>
      </w:r>
      <w:r w:rsidRPr="000602F2">
        <w:rPr>
          <w:bCs/>
          <w:lang w:val="en"/>
        </w:rPr>
        <w:t xml:space="preserve"> </w:t>
      </w:r>
      <w:r w:rsidR="005C6CB3">
        <w:rPr>
          <w:lang w:val="en"/>
        </w:rPr>
        <w:t>Minutes of the</w:t>
      </w:r>
      <w:r w:rsidRPr="000602F2">
        <w:rPr>
          <w:lang w:val="en"/>
        </w:rPr>
        <w:t xml:space="preserve"> </w:t>
      </w:r>
      <w:r w:rsidR="00876397">
        <w:rPr>
          <w:lang w:val="en"/>
        </w:rPr>
        <w:t>May</w:t>
      </w:r>
      <w:r w:rsidR="00C21012">
        <w:rPr>
          <w:lang w:val="en"/>
        </w:rPr>
        <w:t xml:space="preserve"> 6</w:t>
      </w:r>
      <w:r w:rsidRPr="000602F2">
        <w:rPr>
          <w:lang w:val="en"/>
        </w:rPr>
        <w:t xml:space="preserve"> meeting were approved</w:t>
      </w:r>
      <w:r w:rsidR="00D66C54">
        <w:rPr>
          <w:lang w:val="en"/>
        </w:rPr>
        <w:t xml:space="preserve"> and </w:t>
      </w:r>
      <w:r w:rsidR="0052501D">
        <w:rPr>
          <w:lang w:val="en"/>
        </w:rPr>
        <w:t xml:space="preserve">have been </w:t>
      </w:r>
      <w:r w:rsidR="00D66C54">
        <w:rPr>
          <w:lang w:val="en"/>
        </w:rPr>
        <w:t>posted</w:t>
      </w:r>
      <w:r w:rsidR="00EC0822" w:rsidRPr="000602F2">
        <w:rPr>
          <w:lang w:val="en"/>
        </w:rPr>
        <w:t>.</w:t>
      </w:r>
    </w:p>
    <w:p w:rsidR="0036182A" w:rsidRPr="000602F2" w:rsidRDefault="0036182A" w:rsidP="000B566B">
      <w:pPr>
        <w:widowControl w:val="0"/>
        <w:autoSpaceDE w:val="0"/>
        <w:autoSpaceDN w:val="0"/>
        <w:adjustRightInd w:val="0"/>
        <w:spacing w:after="0" w:line="240" w:lineRule="auto"/>
        <w:rPr>
          <w:lang w:val="en"/>
        </w:rPr>
      </w:pPr>
    </w:p>
    <w:p w:rsidR="00102C0E" w:rsidRDefault="00440BE4" w:rsidP="000B566B">
      <w:pPr>
        <w:widowControl w:val="0"/>
        <w:autoSpaceDE w:val="0"/>
        <w:autoSpaceDN w:val="0"/>
        <w:adjustRightInd w:val="0"/>
        <w:spacing w:after="0" w:line="240" w:lineRule="auto"/>
        <w:rPr>
          <w:lang w:val="en"/>
        </w:rPr>
      </w:pPr>
      <w:r w:rsidRPr="000602F2">
        <w:rPr>
          <w:b/>
          <w:bCs/>
          <w:u w:val="single"/>
          <w:lang w:val="en"/>
        </w:rPr>
        <w:t>Financial Partner’s Report</w:t>
      </w:r>
      <w:r w:rsidRPr="000602F2">
        <w:rPr>
          <w:b/>
          <w:bCs/>
          <w:lang w:val="en"/>
        </w:rPr>
        <w:t>:</w:t>
      </w:r>
      <w:r w:rsidR="00102C0E">
        <w:rPr>
          <w:lang w:val="en"/>
        </w:rPr>
        <w:t xml:space="preserve"> </w:t>
      </w:r>
    </w:p>
    <w:p w:rsidR="00D0187E" w:rsidRDefault="00D0187E" w:rsidP="00D0187E">
      <w:pPr>
        <w:pStyle w:val="ListParagraph"/>
        <w:widowControl w:val="0"/>
        <w:numPr>
          <w:ilvl w:val="0"/>
          <w:numId w:val="38"/>
        </w:numPr>
        <w:autoSpaceDE w:val="0"/>
        <w:autoSpaceDN w:val="0"/>
        <w:adjustRightInd w:val="0"/>
        <w:spacing w:after="0" w:line="240" w:lineRule="auto"/>
        <w:rPr>
          <w:lang w:val="en"/>
        </w:rPr>
      </w:pPr>
      <w:r>
        <w:rPr>
          <w:lang w:val="en"/>
        </w:rPr>
        <w:t>The minor issue with the May report has been resolved and the report has been filed for audit</w:t>
      </w:r>
    </w:p>
    <w:p w:rsidR="007A4D0A" w:rsidRDefault="00F03DC3" w:rsidP="007A7AC3">
      <w:pPr>
        <w:pStyle w:val="ListParagraph"/>
        <w:widowControl w:val="0"/>
        <w:numPr>
          <w:ilvl w:val="0"/>
          <w:numId w:val="38"/>
        </w:numPr>
        <w:autoSpaceDE w:val="0"/>
        <w:autoSpaceDN w:val="0"/>
        <w:adjustRightInd w:val="0"/>
        <w:spacing w:after="0" w:line="240" w:lineRule="auto"/>
        <w:rPr>
          <w:lang w:val="en"/>
        </w:rPr>
      </w:pPr>
      <w:r w:rsidRPr="007A4D0A">
        <w:rPr>
          <w:lang w:val="en"/>
        </w:rPr>
        <w:t>Current cash: $10.832.78, no</w:t>
      </w:r>
      <w:r w:rsidR="007A4D0A" w:rsidRPr="007A4D0A">
        <w:rPr>
          <w:lang w:val="en"/>
        </w:rPr>
        <w:t>t</w:t>
      </w:r>
      <w:r w:rsidRPr="007A4D0A">
        <w:rPr>
          <w:lang w:val="en"/>
        </w:rPr>
        <w:t xml:space="preserve"> allowing for limit order of </w:t>
      </w:r>
      <w:r w:rsidR="007A4D0A" w:rsidRPr="007A4D0A">
        <w:rPr>
          <w:lang w:val="en"/>
        </w:rPr>
        <w:t>10sh of BRK.B @$160/</w:t>
      </w:r>
      <w:proofErr w:type="spellStart"/>
      <w:r w:rsidR="007A4D0A" w:rsidRPr="007A4D0A">
        <w:rPr>
          <w:lang w:val="en"/>
        </w:rPr>
        <w:t>sh</w:t>
      </w:r>
      <w:proofErr w:type="spellEnd"/>
    </w:p>
    <w:p w:rsidR="00D0187E" w:rsidRPr="007A4D0A" w:rsidRDefault="00F03DC3" w:rsidP="007A7AC3">
      <w:pPr>
        <w:pStyle w:val="ListParagraph"/>
        <w:widowControl w:val="0"/>
        <w:numPr>
          <w:ilvl w:val="0"/>
          <w:numId w:val="38"/>
        </w:numPr>
        <w:autoSpaceDE w:val="0"/>
        <w:autoSpaceDN w:val="0"/>
        <w:adjustRightInd w:val="0"/>
        <w:spacing w:after="0" w:line="240" w:lineRule="auto"/>
        <w:rPr>
          <w:lang w:val="en"/>
        </w:rPr>
      </w:pPr>
      <w:r w:rsidRPr="007A4D0A">
        <w:rPr>
          <w:lang w:val="en"/>
        </w:rPr>
        <w:t xml:space="preserve">Mike Griffin’s payout is to be </w:t>
      </w:r>
      <w:r w:rsidR="00D0187E" w:rsidRPr="007A4D0A">
        <w:rPr>
          <w:lang w:val="en"/>
        </w:rPr>
        <w:t>$</w:t>
      </w:r>
      <w:r w:rsidRPr="007A4D0A">
        <w:rPr>
          <w:lang w:val="en"/>
        </w:rPr>
        <w:t>11,315.13</w:t>
      </w:r>
      <w:r w:rsidR="00D0187E" w:rsidRPr="007A4D0A">
        <w:rPr>
          <w:lang w:val="en"/>
        </w:rPr>
        <w:t>, leaving a deficit</w:t>
      </w:r>
      <w:r w:rsidR="00162525" w:rsidRPr="007A4D0A">
        <w:rPr>
          <w:lang w:val="en"/>
        </w:rPr>
        <w:t xml:space="preserve"> of </w:t>
      </w:r>
      <w:r w:rsidR="00D0187E" w:rsidRPr="007A4D0A">
        <w:rPr>
          <w:lang w:val="en"/>
        </w:rPr>
        <w:t>$482.35; members were notified that they could purchase Mike’</w:t>
      </w:r>
      <w:r w:rsidR="00384557">
        <w:rPr>
          <w:lang w:val="en"/>
        </w:rPr>
        <w:t>s shares but no one responded</w:t>
      </w:r>
    </w:p>
    <w:p w:rsidR="003B0A91" w:rsidRDefault="003B0A91" w:rsidP="000B566B">
      <w:pPr>
        <w:widowControl w:val="0"/>
        <w:autoSpaceDE w:val="0"/>
        <w:autoSpaceDN w:val="0"/>
        <w:adjustRightInd w:val="0"/>
        <w:spacing w:after="0" w:line="240" w:lineRule="auto"/>
        <w:rPr>
          <w:rFonts w:cstheme="minorHAnsi"/>
          <w:b/>
          <w:bCs/>
          <w:u w:val="single"/>
          <w:lang w:val="en"/>
        </w:rPr>
      </w:pPr>
    </w:p>
    <w:p w:rsidR="00C21012" w:rsidRDefault="00440BE4" w:rsidP="001866F5">
      <w:pPr>
        <w:widowControl w:val="0"/>
        <w:autoSpaceDE w:val="0"/>
        <w:autoSpaceDN w:val="0"/>
        <w:adjustRightInd w:val="0"/>
        <w:spacing w:after="0" w:line="240" w:lineRule="auto"/>
        <w:rPr>
          <w:b/>
          <w:bCs/>
          <w:u w:val="single"/>
          <w:lang w:val="en"/>
        </w:rPr>
      </w:pPr>
      <w:r w:rsidRPr="00EB2FB1">
        <w:rPr>
          <w:rFonts w:cstheme="minorHAnsi"/>
          <w:b/>
          <w:bCs/>
          <w:u w:val="single"/>
          <w:lang w:val="en"/>
        </w:rPr>
        <w:t>Announcements</w:t>
      </w:r>
      <w:r w:rsidRPr="00EB2FB1">
        <w:rPr>
          <w:rFonts w:cstheme="minorHAnsi"/>
          <w:b/>
          <w:bCs/>
          <w:lang w:val="en"/>
        </w:rPr>
        <w:t>:</w:t>
      </w:r>
      <w:r w:rsidR="003B0A91" w:rsidRPr="003B0A91">
        <w:rPr>
          <w:rFonts w:cstheme="minorHAnsi"/>
          <w:bCs/>
          <w:lang w:val="en"/>
        </w:rPr>
        <w:t xml:space="preserve"> Members were reminded to c</w:t>
      </w:r>
      <w:r w:rsidR="003B0A91">
        <w:rPr>
          <w:rFonts w:cstheme="minorHAnsi"/>
          <w:bCs/>
          <w:lang w:val="en"/>
        </w:rPr>
        <w:t>heck the BI magazine, page 3, for a listing of online classes. Jackie mentioned a cell phone app for BI publications and activities.</w:t>
      </w:r>
    </w:p>
    <w:p w:rsidR="00C21012" w:rsidRDefault="00C21012" w:rsidP="001866F5">
      <w:pPr>
        <w:widowControl w:val="0"/>
        <w:autoSpaceDE w:val="0"/>
        <w:autoSpaceDN w:val="0"/>
        <w:adjustRightInd w:val="0"/>
        <w:spacing w:after="0" w:line="240" w:lineRule="auto"/>
        <w:rPr>
          <w:b/>
          <w:bCs/>
          <w:u w:val="single"/>
          <w:lang w:val="en"/>
        </w:rPr>
      </w:pPr>
    </w:p>
    <w:p w:rsidR="00142072" w:rsidRDefault="00440BE4" w:rsidP="001866F5">
      <w:pPr>
        <w:widowControl w:val="0"/>
        <w:autoSpaceDE w:val="0"/>
        <w:autoSpaceDN w:val="0"/>
        <w:adjustRightInd w:val="0"/>
        <w:spacing w:after="0" w:line="240" w:lineRule="auto"/>
        <w:rPr>
          <w:lang w:val="en"/>
        </w:rPr>
      </w:pPr>
      <w:r w:rsidRPr="001866F5">
        <w:rPr>
          <w:b/>
          <w:bCs/>
          <w:u w:val="single"/>
          <w:lang w:val="en"/>
        </w:rPr>
        <w:t>Old Business:</w:t>
      </w:r>
      <w:r w:rsidR="0014761F">
        <w:rPr>
          <w:lang w:val="en"/>
        </w:rPr>
        <w:t xml:space="preserve"> </w:t>
      </w:r>
    </w:p>
    <w:p w:rsidR="003B0A91" w:rsidRDefault="003B0A91" w:rsidP="007F316B">
      <w:pPr>
        <w:pStyle w:val="ListParagraph"/>
        <w:widowControl w:val="0"/>
        <w:numPr>
          <w:ilvl w:val="0"/>
          <w:numId w:val="39"/>
        </w:numPr>
        <w:autoSpaceDE w:val="0"/>
        <w:autoSpaceDN w:val="0"/>
        <w:adjustRightInd w:val="0"/>
        <w:spacing w:after="0" w:line="240" w:lineRule="auto"/>
        <w:rPr>
          <w:lang w:val="en"/>
        </w:rPr>
      </w:pPr>
      <w:r w:rsidRPr="007F316B">
        <w:rPr>
          <w:lang w:val="en"/>
        </w:rPr>
        <w:t>Craig reviewed his experiences at BINC in May</w:t>
      </w:r>
      <w:r w:rsidR="007F316B" w:rsidRPr="007F316B">
        <w:rPr>
          <w:lang w:val="en"/>
        </w:rPr>
        <w:t xml:space="preserve">. 50% of the </w:t>
      </w:r>
      <w:proofErr w:type="spellStart"/>
      <w:r w:rsidR="007F316B" w:rsidRPr="007F316B">
        <w:rPr>
          <w:lang w:val="en"/>
        </w:rPr>
        <w:t>CinMIC</w:t>
      </w:r>
      <w:proofErr w:type="spellEnd"/>
      <w:r w:rsidR="007F316B" w:rsidRPr="007F316B">
        <w:rPr>
          <w:lang w:val="en"/>
        </w:rPr>
        <w:t xml:space="preserve"> members attended and took a mix of the 71 courses offered. Craig had an opportunity to meet some of the BI national figures and experts we </w:t>
      </w:r>
      <w:r w:rsidR="007A4D0A">
        <w:rPr>
          <w:lang w:val="en"/>
        </w:rPr>
        <w:t>often hear/see on webinars and i</w:t>
      </w:r>
      <w:r w:rsidR="007F316B" w:rsidRPr="007F316B">
        <w:rPr>
          <w:lang w:val="en"/>
        </w:rPr>
        <w:t>n-line classes. He noted corporate participation by Duke Energy, RPM, Cincinnati Financial, and General Mills. BINC 2018 will be held in Orlando, FL May 17-20, 2018 and early bird discounted rates are a</w:t>
      </w:r>
      <w:r w:rsidR="007A4D0A">
        <w:rPr>
          <w:lang w:val="en"/>
        </w:rPr>
        <w:t>vailable now. BI Chapter directors</w:t>
      </w:r>
      <w:r w:rsidR="007F316B" w:rsidRPr="007F316B">
        <w:rPr>
          <w:lang w:val="en"/>
        </w:rPr>
        <w:t xml:space="preserve"> enjoy an additional discount.</w:t>
      </w:r>
    </w:p>
    <w:p w:rsidR="00C21012" w:rsidRPr="007F316B" w:rsidRDefault="007F316B" w:rsidP="009112DE">
      <w:pPr>
        <w:pStyle w:val="ListParagraph"/>
        <w:widowControl w:val="0"/>
        <w:numPr>
          <w:ilvl w:val="0"/>
          <w:numId w:val="39"/>
        </w:numPr>
        <w:autoSpaceDE w:val="0"/>
        <w:autoSpaceDN w:val="0"/>
        <w:adjustRightInd w:val="0"/>
        <w:spacing w:after="0" w:line="240" w:lineRule="auto"/>
        <w:rPr>
          <w:b/>
          <w:bCs/>
          <w:u w:val="single"/>
          <w:lang w:val="en"/>
        </w:rPr>
      </w:pPr>
      <w:r w:rsidRPr="007F316B">
        <w:rPr>
          <w:lang w:val="en"/>
        </w:rPr>
        <w:t>Latish</w:t>
      </w:r>
      <w:r w:rsidR="007A4D0A">
        <w:rPr>
          <w:lang w:val="en"/>
        </w:rPr>
        <w:t>a</w:t>
      </w:r>
      <w:r w:rsidRPr="007F316B">
        <w:rPr>
          <w:lang w:val="en"/>
        </w:rPr>
        <w:t xml:space="preserve"> and Jackie reported on the 15</w:t>
      </w:r>
      <w:r w:rsidRPr="007F316B">
        <w:rPr>
          <w:vertAlign w:val="superscript"/>
          <w:lang w:val="en"/>
        </w:rPr>
        <w:t>th</w:t>
      </w:r>
      <w:r w:rsidRPr="007F316B">
        <w:rPr>
          <w:lang w:val="en"/>
        </w:rPr>
        <w:t xml:space="preserve"> anniversary </w:t>
      </w:r>
      <w:proofErr w:type="spellStart"/>
      <w:r w:rsidRPr="007F316B">
        <w:rPr>
          <w:lang w:val="en"/>
        </w:rPr>
        <w:t>CinMIC</w:t>
      </w:r>
      <w:proofErr w:type="spellEnd"/>
      <w:r w:rsidRPr="007F316B">
        <w:rPr>
          <w:lang w:val="en"/>
        </w:rPr>
        <w:t xml:space="preserve"> meeting/luncheon to be held Oct 21, 2017. </w:t>
      </w:r>
      <w:proofErr w:type="spellStart"/>
      <w:r w:rsidRPr="007F316B">
        <w:rPr>
          <w:lang w:val="en"/>
        </w:rPr>
        <w:t>Papadeaux</w:t>
      </w:r>
      <w:proofErr w:type="spellEnd"/>
      <w:r w:rsidRPr="007F316B">
        <w:rPr>
          <w:lang w:val="en"/>
        </w:rPr>
        <w:t xml:space="preserve"> was preferred and Latisha will try to negotiate a non-holiday rate for the group. Chapter board </w:t>
      </w:r>
      <w:r w:rsidR="007A4D0A">
        <w:rPr>
          <w:lang w:val="en"/>
        </w:rPr>
        <w:t xml:space="preserve">members </w:t>
      </w:r>
      <w:r w:rsidRPr="007F316B">
        <w:rPr>
          <w:lang w:val="en"/>
        </w:rPr>
        <w:t xml:space="preserve">may be </w:t>
      </w:r>
      <w:r w:rsidR="007A4D0A">
        <w:rPr>
          <w:lang w:val="en"/>
        </w:rPr>
        <w:t>invited</w:t>
      </w:r>
      <w:r w:rsidRPr="007F316B">
        <w:rPr>
          <w:lang w:val="en"/>
        </w:rPr>
        <w:t xml:space="preserve">. </w:t>
      </w:r>
      <w:proofErr w:type="spellStart"/>
      <w:r w:rsidRPr="007F316B">
        <w:rPr>
          <w:lang w:val="en"/>
        </w:rPr>
        <w:t>CinMIC</w:t>
      </w:r>
      <w:proofErr w:type="spellEnd"/>
      <w:r w:rsidRPr="007F316B">
        <w:rPr>
          <w:lang w:val="en"/>
        </w:rPr>
        <w:t xml:space="preserve"> members were requested to discuss their best investment tips or their best stock that they purcha</w:t>
      </w:r>
      <w:r w:rsidR="000D57C1">
        <w:rPr>
          <w:lang w:val="en"/>
        </w:rPr>
        <w:t>sed</w:t>
      </w:r>
      <w:r w:rsidRPr="007F316B">
        <w:rPr>
          <w:lang w:val="en"/>
        </w:rPr>
        <w:t>.</w:t>
      </w:r>
    </w:p>
    <w:p w:rsidR="007F316B" w:rsidRPr="007F316B" w:rsidRDefault="007F316B" w:rsidP="007F316B">
      <w:pPr>
        <w:widowControl w:val="0"/>
        <w:autoSpaceDE w:val="0"/>
        <w:autoSpaceDN w:val="0"/>
        <w:adjustRightInd w:val="0"/>
        <w:spacing w:after="0" w:line="240" w:lineRule="auto"/>
        <w:rPr>
          <w:b/>
          <w:bCs/>
          <w:u w:val="single"/>
          <w:lang w:val="en"/>
        </w:rPr>
      </w:pPr>
    </w:p>
    <w:p w:rsidR="00C21012" w:rsidRDefault="00440BE4" w:rsidP="00216576">
      <w:pPr>
        <w:widowControl w:val="0"/>
        <w:autoSpaceDE w:val="0"/>
        <w:autoSpaceDN w:val="0"/>
        <w:adjustRightInd w:val="0"/>
        <w:spacing w:after="0" w:line="240" w:lineRule="auto"/>
        <w:rPr>
          <w:b/>
          <w:bCs/>
          <w:u w:val="single"/>
          <w:lang w:val="en"/>
        </w:rPr>
      </w:pPr>
      <w:r w:rsidRPr="000602F2">
        <w:rPr>
          <w:b/>
          <w:bCs/>
          <w:u w:val="single"/>
          <w:lang w:val="en"/>
        </w:rPr>
        <w:t>New Business:</w:t>
      </w:r>
      <w:r w:rsidR="007A4D0A">
        <w:rPr>
          <w:lang w:val="en"/>
        </w:rPr>
        <w:t xml:space="preserve"> </w:t>
      </w:r>
      <w:r w:rsidR="007F316B">
        <w:rPr>
          <w:lang w:val="en"/>
        </w:rPr>
        <w:t>Lane Library is conducting a survey to find out i</w:t>
      </w:r>
      <w:r w:rsidR="007A4D0A">
        <w:rPr>
          <w:lang w:val="en"/>
        </w:rPr>
        <w:t>f</w:t>
      </w:r>
      <w:r w:rsidR="007F316B">
        <w:rPr>
          <w:lang w:val="en"/>
        </w:rPr>
        <w:t xml:space="preserve"> enough people use the S&amp;P </w:t>
      </w:r>
      <w:proofErr w:type="spellStart"/>
      <w:r w:rsidR="007F316B">
        <w:rPr>
          <w:lang w:val="en"/>
        </w:rPr>
        <w:t>NetAdvantage</w:t>
      </w:r>
      <w:proofErr w:type="spellEnd"/>
      <w:r w:rsidR="007F316B">
        <w:rPr>
          <w:lang w:val="en"/>
        </w:rPr>
        <w:t xml:space="preserve"> subscription. Only a few members use the service and Jason </w:t>
      </w:r>
      <w:proofErr w:type="spellStart"/>
      <w:r w:rsidR="007F316B">
        <w:rPr>
          <w:lang w:val="en"/>
        </w:rPr>
        <w:t>Ramage</w:t>
      </w:r>
      <w:proofErr w:type="spellEnd"/>
      <w:r w:rsidR="007F316B">
        <w:rPr>
          <w:lang w:val="en"/>
        </w:rPr>
        <w:t xml:space="preserve"> suggested that if Lane drops the service, other libraries such as Cuyahoga County or Dayton might be alternatives. It was thought that any Ohio resident could obtain a library card to access the sites.</w:t>
      </w:r>
    </w:p>
    <w:p w:rsidR="00C21012" w:rsidRDefault="00C21012" w:rsidP="004412F0">
      <w:pPr>
        <w:widowControl w:val="0"/>
        <w:tabs>
          <w:tab w:val="left" w:pos="994"/>
        </w:tabs>
        <w:autoSpaceDE w:val="0"/>
        <w:autoSpaceDN w:val="0"/>
        <w:adjustRightInd w:val="0"/>
        <w:spacing w:after="0" w:line="240" w:lineRule="auto"/>
        <w:rPr>
          <w:b/>
          <w:bCs/>
          <w:u w:val="single"/>
          <w:lang w:val="en"/>
        </w:rPr>
      </w:pPr>
    </w:p>
    <w:p w:rsidR="00C21012" w:rsidRDefault="004412F0" w:rsidP="004412F0">
      <w:pPr>
        <w:widowControl w:val="0"/>
        <w:tabs>
          <w:tab w:val="left" w:pos="994"/>
        </w:tabs>
        <w:autoSpaceDE w:val="0"/>
        <w:autoSpaceDN w:val="0"/>
        <w:adjustRightInd w:val="0"/>
        <w:spacing w:after="0" w:line="240" w:lineRule="auto"/>
        <w:rPr>
          <w:bCs/>
          <w:lang w:val="en"/>
        </w:rPr>
      </w:pPr>
      <w:r w:rsidRPr="000602F2">
        <w:rPr>
          <w:b/>
          <w:bCs/>
          <w:u w:val="single"/>
          <w:lang w:val="en"/>
        </w:rPr>
        <w:t>Education:</w:t>
      </w:r>
      <w:r w:rsidRPr="000602F2">
        <w:rPr>
          <w:bCs/>
          <w:lang w:val="en"/>
        </w:rPr>
        <w:t xml:space="preserve"> </w:t>
      </w:r>
      <w:r w:rsidR="00216576">
        <w:rPr>
          <w:bCs/>
          <w:lang w:val="en"/>
        </w:rPr>
        <w:t>Dene presented the Self-Education topics on the Better Investing web site. Comparing BI and AAII, members though</w:t>
      </w:r>
      <w:r w:rsidR="007A4D0A">
        <w:rPr>
          <w:bCs/>
          <w:lang w:val="en"/>
        </w:rPr>
        <w:t>t</w:t>
      </w:r>
      <w:r w:rsidR="00216576">
        <w:rPr>
          <w:bCs/>
          <w:lang w:val="en"/>
        </w:rPr>
        <w:t xml:space="preserve"> that the AAII web site was focu</w:t>
      </w:r>
      <w:r w:rsidR="007A4D0A">
        <w:rPr>
          <w:bCs/>
          <w:lang w:val="en"/>
        </w:rPr>
        <w:t>sed on the self-directed</w:t>
      </w:r>
      <w:r w:rsidR="00216576">
        <w:rPr>
          <w:bCs/>
          <w:lang w:val="en"/>
        </w:rPr>
        <w:t>, heavy on ads and tended to better serve individual investors, while the BI site was more personal, supported clubs and investment groups, and offered mentors. Navigating t</w:t>
      </w:r>
      <w:r w:rsidR="000D57C1">
        <w:rPr>
          <w:bCs/>
          <w:lang w:val="en"/>
        </w:rPr>
        <w:t>he BI site, Dene noted the Tools &amp; Resources tab, where you can find the</w:t>
      </w:r>
      <w:r w:rsidR="00216576">
        <w:rPr>
          <w:bCs/>
          <w:lang w:val="en"/>
        </w:rPr>
        <w:t xml:space="preserve"> </w:t>
      </w:r>
      <w:proofErr w:type="spellStart"/>
      <w:r w:rsidR="00216576">
        <w:rPr>
          <w:bCs/>
          <w:lang w:val="en"/>
        </w:rPr>
        <w:t>the</w:t>
      </w:r>
      <w:proofErr w:type="spellEnd"/>
      <w:r w:rsidR="00216576">
        <w:rPr>
          <w:bCs/>
          <w:lang w:val="en"/>
        </w:rPr>
        <w:t xml:space="preserve"> </w:t>
      </w:r>
      <w:r w:rsidR="007A4D0A">
        <w:rPr>
          <w:bCs/>
          <w:lang w:val="en"/>
        </w:rPr>
        <w:t>T</w:t>
      </w:r>
      <w:r w:rsidR="00216576">
        <w:rPr>
          <w:bCs/>
          <w:lang w:val="en"/>
        </w:rPr>
        <w:t xml:space="preserve">icker Talk, First Cut, and Stock Up sections. </w:t>
      </w:r>
      <w:r w:rsidR="000D57C1">
        <w:rPr>
          <w:bCs/>
          <w:lang w:val="en"/>
        </w:rPr>
        <w:t xml:space="preserve">Under the Education tab can be found My Classes with handouts and videos, available for free for SSG+ </w:t>
      </w:r>
      <w:r w:rsidR="000D57C1">
        <w:rPr>
          <w:bCs/>
          <w:lang w:val="en"/>
        </w:rPr>
        <w:lastRenderedPageBreak/>
        <w:t xml:space="preserve">members. </w:t>
      </w:r>
      <w:r w:rsidR="00216576">
        <w:rPr>
          <w:bCs/>
          <w:lang w:val="en"/>
        </w:rPr>
        <w:t xml:space="preserve">Archived webinars are an excellent </w:t>
      </w:r>
      <w:r w:rsidR="007A4D0A">
        <w:rPr>
          <w:bCs/>
          <w:lang w:val="en"/>
        </w:rPr>
        <w:t xml:space="preserve">way </w:t>
      </w:r>
      <w:r w:rsidR="00216576">
        <w:rPr>
          <w:bCs/>
          <w:lang w:val="en"/>
        </w:rPr>
        <w:t xml:space="preserve">to get familiar </w:t>
      </w:r>
      <w:r w:rsidR="007A4D0A">
        <w:rPr>
          <w:bCs/>
          <w:lang w:val="en"/>
        </w:rPr>
        <w:t xml:space="preserve">with </w:t>
      </w:r>
      <w:r w:rsidR="00216576">
        <w:rPr>
          <w:bCs/>
          <w:lang w:val="en"/>
        </w:rPr>
        <w:t xml:space="preserve">or refresh knowledge on a wide range of topics featuring the top BI presenters. Members </w:t>
      </w:r>
      <w:r w:rsidR="000D57C1">
        <w:rPr>
          <w:bCs/>
          <w:lang w:val="en"/>
        </w:rPr>
        <w:t xml:space="preserve">who attended </w:t>
      </w:r>
      <w:r w:rsidR="00216576">
        <w:rPr>
          <w:bCs/>
          <w:lang w:val="en"/>
        </w:rPr>
        <w:t>were also directed to the BINC 2017 site where slides of all of the presentations can be downloaded. Audio recordings of the sessions are available for an extra cost.</w:t>
      </w:r>
    </w:p>
    <w:p w:rsidR="00C21012" w:rsidRDefault="00C21012" w:rsidP="004412F0">
      <w:pPr>
        <w:widowControl w:val="0"/>
        <w:tabs>
          <w:tab w:val="left" w:pos="994"/>
        </w:tabs>
        <w:autoSpaceDE w:val="0"/>
        <w:autoSpaceDN w:val="0"/>
        <w:adjustRightInd w:val="0"/>
        <w:spacing w:after="0" w:line="240" w:lineRule="auto"/>
        <w:rPr>
          <w:bCs/>
          <w:lang w:val="en"/>
        </w:rPr>
      </w:pPr>
    </w:p>
    <w:p w:rsidR="003804F7" w:rsidRDefault="00DF0306" w:rsidP="00C21012">
      <w:pPr>
        <w:widowControl w:val="0"/>
        <w:autoSpaceDE w:val="0"/>
        <w:autoSpaceDN w:val="0"/>
        <w:adjustRightInd w:val="0"/>
        <w:spacing w:after="0" w:line="240" w:lineRule="auto"/>
      </w:pPr>
      <w:r w:rsidRPr="000602F2">
        <w:rPr>
          <w:b/>
          <w:bCs/>
          <w:u w:val="single"/>
          <w:lang w:val="en"/>
        </w:rPr>
        <w:t>New Stock Presentation</w:t>
      </w:r>
      <w:r w:rsidRPr="000602F2">
        <w:rPr>
          <w:b/>
          <w:bCs/>
          <w:lang w:val="en"/>
        </w:rPr>
        <w:t>:</w:t>
      </w:r>
      <w:r>
        <w:rPr>
          <w:bCs/>
          <w:lang w:val="en"/>
        </w:rPr>
        <w:t xml:space="preserve"> </w:t>
      </w:r>
      <w:r w:rsidR="00216576">
        <w:rPr>
          <w:bCs/>
          <w:lang w:val="en"/>
        </w:rPr>
        <w:t xml:space="preserve">Rich presented </w:t>
      </w:r>
      <w:proofErr w:type="spellStart"/>
      <w:r w:rsidR="00216576">
        <w:rPr>
          <w:bCs/>
          <w:lang w:val="en"/>
        </w:rPr>
        <w:t>Mednax</w:t>
      </w:r>
      <w:proofErr w:type="spellEnd"/>
      <w:r w:rsidR="00532F9B">
        <w:rPr>
          <w:bCs/>
          <w:lang w:val="en"/>
        </w:rPr>
        <w:t xml:space="preserve"> (MD)</w:t>
      </w:r>
      <w:r w:rsidR="00216576">
        <w:rPr>
          <w:bCs/>
          <w:lang w:val="en"/>
        </w:rPr>
        <w:t xml:space="preserve">, a services-oriented healthcare provider specializing in neonatal, anesthesiology, </w:t>
      </w:r>
      <w:proofErr w:type="spellStart"/>
      <w:r w:rsidR="00216576">
        <w:rPr>
          <w:bCs/>
          <w:lang w:val="en"/>
        </w:rPr>
        <w:t>teleradiology</w:t>
      </w:r>
      <w:proofErr w:type="spellEnd"/>
      <w:r w:rsidR="00216576">
        <w:rPr>
          <w:bCs/>
          <w:lang w:val="en"/>
        </w:rPr>
        <w:t xml:space="preserve">, </w:t>
      </w:r>
      <w:r w:rsidR="00532F9B">
        <w:rPr>
          <w:bCs/>
          <w:lang w:val="en"/>
        </w:rPr>
        <w:t>revenue cycle management, and healthcare management</w:t>
      </w:r>
      <w:r w:rsidR="00216576">
        <w:rPr>
          <w:bCs/>
          <w:lang w:val="en"/>
        </w:rPr>
        <w:t xml:space="preserve"> consulting. They have a national presence in all 50 states</w:t>
      </w:r>
      <w:r w:rsidR="00532F9B">
        <w:rPr>
          <w:bCs/>
          <w:lang w:val="en"/>
        </w:rPr>
        <w:t xml:space="preserve"> and have been featured in recent AAII reports and First Cut presentations. Although sales have grown steadily, recent margin degradation has hammered the stock price, perhaps making it an attractive candidate. A pessimistic SSG showed MD to be a buy but there was concern about </w:t>
      </w:r>
      <w:r w:rsidR="00FF0BB7">
        <w:rPr>
          <w:bCs/>
          <w:lang w:val="en"/>
        </w:rPr>
        <w:t>degradation of earnings and PTP in the last two quarters, near term performance, and</w:t>
      </w:r>
      <w:r w:rsidR="00532F9B">
        <w:rPr>
          <w:bCs/>
          <w:lang w:val="en"/>
        </w:rPr>
        <w:t xml:space="preserve"> potential federal/state coverage changes. </w:t>
      </w:r>
      <w:r w:rsidR="00FF0BB7">
        <w:rPr>
          <w:bCs/>
          <w:lang w:val="en"/>
        </w:rPr>
        <w:t xml:space="preserve">MDs performance would have to turn positive </w:t>
      </w:r>
      <w:r w:rsidR="00E364A2">
        <w:rPr>
          <w:bCs/>
          <w:lang w:val="en"/>
        </w:rPr>
        <w:t>in</w:t>
      </w:r>
      <w:bookmarkStart w:id="0" w:name="_GoBack"/>
      <w:bookmarkEnd w:id="0"/>
      <w:r w:rsidR="00FF0BB7">
        <w:rPr>
          <w:bCs/>
          <w:lang w:val="en"/>
        </w:rPr>
        <w:t xml:space="preserve"> order to recommend a purchase.</w:t>
      </w:r>
      <w:r w:rsidR="003804F7">
        <w:br/>
      </w:r>
    </w:p>
    <w:p w:rsidR="0074426E" w:rsidRPr="00C21012" w:rsidRDefault="00440BE4" w:rsidP="00C21012">
      <w:pPr>
        <w:widowControl w:val="0"/>
        <w:autoSpaceDE w:val="0"/>
        <w:autoSpaceDN w:val="0"/>
        <w:adjustRightInd w:val="0"/>
        <w:spacing w:after="0" w:line="240" w:lineRule="auto"/>
        <w:rPr>
          <w:rFonts w:cstheme="minorHAnsi"/>
          <w:lang w:val="en"/>
        </w:rPr>
      </w:pPr>
      <w:r w:rsidRPr="009517C5">
        <w:rPr>
          <w:rFonts w:cstheme="minorHAnsi"/>
          <w:b/>
          <w:bCs/>
          <w:u w:val="single"/>
          <w:lang w:val="en"/>
        </w:rPr>
        <w:t>Portfolio Review:</w:t>
      </w:r>
      <w:r w:rsidRPr="009517C5">
        <w:rPr>
          <w:rFonts w:cstheme="minorHAnsi"/>
          <w:lang w:val="en"/>
        </w:rPr>
        <w:t xml:space="preserve"> </w:t>
      </w:r>
    </w:p>
    <w:tbl>
      <w:tblPr>
        <w:tblW w:w="109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0"/>
        <w:gridCol w:w="810"/>
        <w:gridCol w:w="900"/>
        <w:gridCol w:w="1440"/>
        <w:gridCol w:w="1260"/>
        <w:gridCol w:w="990"/>
        <w:gridCol w:w="990"/>
        <w:gridCol w:w="900"/>
        <w:gridCol w:w="900"/>
        <w:gridCol w:w="1379"/>
      </w:tblGrid>
      <w:tr w:rsidR="00783239" w:rsidRPr="00F349BA" w:rsidTr="002B61B1">
        <w:trPr>
          <w:trHeight w:val="421"/>
          <w:jc w:val="center"/>
        </w:trPr>
        <w:tc>
          <w:tcPr>
            <w:tcW w:w="1340" w:type="dxa"/>
            <w:shd w:val="clear" w:color="auto" w:fill="auto"/>
            <w:vAlign w:val="bottom"/>
            <w:hideMark/>
          </w:tcPr>
          <w:p w:rsidR="00783239" w:rsidRPr="00F349BA" w:rsidRDefault="00783239" w:rsidP="002B61B1">
            <w:pPr>
              <w:spacing w:after="0" w:line="240" w:lineRule="auto"/>
              <w:rPr>
                <w:rFonts w:eastAsia="Times New Roman"/>
                <w:b/>
                <w:bCs/>
                <w:sz w:val="16"/>
                <w:szCs w:val="16"/>
              </w:rPr>
            </w:pPr>
            <w:r w:rsidRPr="00F349BA">
              <w:rPr>
                <w:rFonts w:eastAsia="Times New Roman"/>
                <w:b/>
                <w:bCs/>
                <w:sz w:val="16"/>
                <w:szCs w:val="16"/>
              </w:rPr>
              <w:t>Stock</w:t>
            </w:r>
          </w:p>
        </w:tc>
        <w:tc>
          <w:tcPr>
            <w:tcW w:w="810" w:type="dxa"/>
            <w:shd w:val="clear" w:color="auto" w:fill="auto"/>
            <w:vAlign w:val="bottom"/>
            <w:hideMark/>
          </w:tcPr>
          <w:p w:rsidR="00783239" w:rsidRPr="00F349BA" w:rsidRDefault="00783239" w:rsidP="002B61B1">
            <w:pPr>
              <w:spacing w:after="0" w:line="240" w:lineRule="auto"/>
              <w:jc w:val="center"/>
              <w:rPr>
                <w:rFonts w:eastAsia="Times New Roman"/>
                <w:b/>
                <w:bCs/>
                <w:sz w:val="16"/>
                <w:szCs w:val="16"/>
              </w:rPr>
            </w:pPr>
            <w:r w:rsidRPr="00F349BA">
              <w:rPr>
                <w:rFonts w:eastAsia="Times New Roman"/>
                <w:b/>
                <w:bCs/>
                <w:sz w:val="16"/>
                <w:szCs w:val="16"/>
              </w:rPr>
              <w:t>Symbol</w:t>
            </w:r>
          </w:p>
        </w:tc>
        <w:tc>
          <w:tcPr>
            <w:tcW w:w="900" w:type="dxa"/>
            <w:shd w:val="clear" w:color="auto" w:fill="auto"/>
            <w:vAlign w:val="bottom"/>
            <w:hideMark/>
          </w:tcPr>
          <w:p w:rsidR="00783239" w:rsidRPr="00F349BA" w:rsidRDefault="00783239" w:rsidP="002B61B1">
            <w:pPr>
              <w:spacing w:after="0" w:line="240" w:lineRule="auto"/>
              <w:jc w:val="center"/>
              <w:rPr>
                <w:rFonts w:eastAsia="Times New Roman"/>
                <w:b/>
                <w:bCs/>
                <w:sz w:val="16"/>
                <w:szCs w:val="16"/>
              </w:rPr>
            </w:pPr>
            <w:r w:rsidRPr="00F349BA">
              <w:rPr>
                <w:rFonts w:eastAsia="Times New Roman"/>
                <w:b/>
                <w:bCs/>
                <w:sz w:val="16"/>
                <w:szCs w:val="16"/>
              </w:rPr>
              <w:t>Watcher</w:t>
            </w:r>
          </w:p>
        </w:tc>
        <w:tc>
          <w:tcPr>
            <w:tcW w:w="1440" w:type="dxa"/>
            <w:shd w:val="clear" w:color="auto" w:fill="auto"/>
            <w:vAlign w:val="bottom"/>
            <w:hideMark/>
          </w:tcPr>
          <w:p w:rsidR="00783239" w:rsidRPr="00F349BA" w:rsidRDefault="00783239" w:rsidP="002B61B1">
            <w:pPr>
              <w:spacing w:after="0" w:line="240" w:lineRule="auto"/>
              <w:jc w:val="center"/>
              <w:rPr>
                <w:rFonts w:eastAsia="Times New Roman"/>
                <w:b/>
                <w:bCs/>
                <w:sz w:val="16"/>
                <w:szCs w:val="16"/>
              </w:rPr>
            </w:pPr>
            <w:r w:rsidRPr="00F349BA">
              <w:rPr>
                <w:rFonts w:eastAsia="Times New Roman"/>
                <w:b/>
                <w:bCs/>
                <w:sz w:val="16"/>
                <w:szCs w:val="16"/>
              </w:rPr>
              <w:t>Watcher: Buy/Hold/Sell</w:t>
            </w:r>
          </w:p>
        </w:tc>
        <w:tc>
          <w:tcPr>
            <w:tcW w:w="1260" w:type="dxa"/>
            <w:shd w:val="clear" w:color="auto" w:fill="auto"/>
            <w:vAlign w:val="bottom"/>
            <w:hideMark/>
          </w:tcPr>
          <w:p w:rsidR="00783239" w:rsidRPr="00F349BA" w:rsidRDefault="00783239" w:rsidP="002B61B1">
            <w:pPr>
              <w:spacing w:after="0" w:line="240" w:lineRule="auto"/>
              <w:jc w:val="center"/>
              <w:rPr>
                <w:rFonts w:eastAsia="Times New Roman"/>
                <w:b/>
                <w:bCs/>
                <w:sz w:val="16"/>
                <w:szCs w:val="16"/>
              </w:rPr>
            </w:pPr>
            <w:r w:rsidRPr="00F349BA">
              <w:rPr>
                <w:rFonts w:eastAsia="Times New Roman"/>
                <w:b/>
                <w:bCs/>
                <w:sz w:val="16"/>
                <w:szCs w:val="16"/>
              </w:rPr>
              <w:t>SSG: Buy/Hold/Sell</w:t>
            </w:r>
          </w:p>
        </w:tc>
        <w:tc>
          <w:tcPr>
            <w:tcW w:w="990" w:type="dxa"/>
          </w:tcPr>
          <w:p w:rsidR="00783239" w:rsidRPr="00F349BA" w:rsidRDefault="00783239" w:rsidP="002B61B1">
            <w:pPr>
              <w:spacing w:after="0" w:line="240" w:lineRule="auto"/>
              <w:jc w:val="center"/>
              <w:rPr>
                <w:rFonts w:eastAsia="Times New Roman"/>
                <w:b/>
                <w:bCs/>
                <w:sz w:val="16"/>
                <w:szCs w:val="16"/>
              </w:rPr>
            </w:pPr>
            <w:r w:rsidRPr="00F349BA">
              <w:rPr>
                <w:rFonts w:eastAsia="Times New Roman"/>
                <w:b/>
                <w:bCs/>
                <w:sz w:val="16"/>
                <w:szCs w:val="16"/>
              </w:rPr>
              <w:t xml:space="preserve">Report posted </w:t>
            </w:r>
            <w:r>
              <w:rPr>
                <w:rFonts w:eastAsia="Times New Roman"/>
                <w:b/>
                <w:bCs/>
                <w:sz w:val="16"/>
                <w:szCs w:val="16"/>
              </w:rPr>
              <w:t>o</w:t>
            </w:r>
            <w:r w:rsidRPr="00F349BA">
              <w:rPr>
                <w:rFonts w:eastAsia="Times New Roman"/>
                <w:b/>
                <w:bCs/>
                <w:sz w:val="16"/>
                <w:szCs w:val="16"/>
              </w:rPr>
              <w:t>n:</w:t>
            </w:r>
          </w:p>
        </w:tc>
        <w:tc>
          <w:tcPr>
            <w:tcW w:w="990" w:type="dxa"/>
            <w:shd w:val="clear" w:color="auto" w:fill="auto"/>
            <w:vAlign w:val="bottom"/>
            <w:hideMark/>
          </w:tcPr>
          <w:p w:rsidR="00783239" w:rsidRPr="00F349BA" w:rsidRDefault="00783239" w:rsidP="002B61B1">
            <w:pPr>
              <w:spacing w:after="0" w:line="240" w:lineRule="auto"/>
              <w:jc w:val="center"/>
              <w:rPr>
                <w:rFonts w:eastAsia="Times New Roman"/>
                <w:b/>
                <w:bCs/>
                <w:sz w:val="16"/>
                <w:szCs w:val="16"/>
              </w:rPr>
            </w:pPr>
            <w:r w:rsidRPr="00F349BA">
              <w:rPr>
                <w:rFonts w:eastAsia="Times New Roman"/>
                <w:b/>
                <w:bCs/>
                <w:sz w:val="16"/>
                <w:szCs w:val="16"/>
              </w:rPr>
              <w:t># of Shares</w:t>
            </w:r>
          </w:p>
        </w:tc>
        <w:tc>
          <w:tcPr>
            <w:tcW w:w="900" w:type="dxa"/>
            <w:vAlign w:val="bottom"/>
          </w:tcPr>
          <w:p w:rsidR="00783239" w:rsidRPr="00F349BA" w:rsidRDefault="00783239" w:rsidP="002B61B1">
            <w:pPr>
              <w:spacing w:after="0" w:line="240" w:lineRule="auto"/>
              <w:jc w:val="center"/>
              <w:rPr>
                <w:rFonts w:eastAsia="Times New Roman"/>
                <w:b/>
                <w:bCs/>
                <w:sz w:val="16"/>
                <w:szCs w:val="16"/>
              </w:rPr>
            </w:pPr>
            <w:r w:rsidRPr="00F349BA">
              <w:rPr>
                <w:rFonts w:eastAsia="Times New Roman"/>
                <w:b/>
                <w:bCs/>
                <w:sz w:val="16"/>
                <w:szCs w:val="16"/>
              </w:rPr>
              <w:t>% of Portfolio</w:t>
            </w:r>
          </w:p>
        </w:tc>
        <w:tc>
          <w:tcPr>
            <w:tcW w:w="900" w:type="dxa"/>
            <w:shd w:val="clear" w:color="auto" w:fill="auto"/>
            <w:vAlign w:val="bottom"/>
            <w:hideMark/>
          </w:tcPr>
          <w:p w:rsidR="00783239" w:rsidRPr="00F349BA" w:rsidRDefault="00783239" w:rsidP="002B61B1">
            <w:pPr>
              <w:spacing w:after="0" w:line="240" w:lineRule="auto"/>
              <w:jc w:val="center"/>
              <w:rPr>
                <w:rFonts w:eastAsia="Times New Roman"/>
                <w:b/>
                <w:bCs/>
                <w:sz w:val="16"/>
                <w:szCs w:val="16"/>
              </w:rPr>
            </w:pPr>
            <w:r w:rsidRPr="00F349BA">
              <w:rPr>
                <w:rFonts w:eastAsia="Times New Roman"/>
                <w:b/>
                <w:bCs/>
                <w:sz w:val="16"/>
                <w:szCs w:val="16"/>
              </w:rPr>
              <w:t>Year End</w:t>
            </w:r>
          </w:p>
        </w:tc>
        <w:tc>
          <w:tcPr>
            <w:tcW w:w="1379" w:type="dxa"/>
            <w:shd w:val="clear" w:color="auto" w:fill="auto"/>
            <w:vAlign w:val="bottom"/>
            <w:hideMark/>
          </w:tcPr>
          <w:p w:rsidR="00783239" w:rsidRPr="00F349BA" w:rsidRDefault="00783239" w:rsidP="002B61B1">
            <w:pPr>
              <w:spacing w:after="0" w:line="240" w:lineRule="auto"/>
              <w:jc w:val="center"/>
              <w:rPr>
                <w:rFonts w:eastAsia="Times New Roman"/>
                <w:b/>
                <w:bCs/>
                <w:sz w:val="16"/>
                <w:szCs w:val="16"/>
              </w:rPr>
            </w:pPr>
            <w:r w:rsidRPr="00F349BA">
              <w:rPr>
                <w:rFonts w:eastAsia="Times New Roman"/>
                <w:b/>
                <w:bCs/>
                <w:sz w:val="16"/>
                <w:szCs w:val="16"/>
              </w:rPr>
              <w:t>Next Earnings Report:</w:t>
            </w:r>
          </w:p>
        </w:tc>
      </w:tr>
      <w:tr w:rsidR="00783239" w:rsidRPr="00D43480" w:rsidTr="002B61B1">
        <w:trPr>
          <w:trHeight w:val="261"/>
          <w:jc w:val="center"/>
        </w:trPr>
        <w:tc>
          <w:tcPr>
            <w:tcW w:w="1340" w:type="dxa"/>
            <w:shd w:val="clear" w:color="auto" w:fill="FFFFFF" w:themeFill="background1"/>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 xml:space="preserve">Apple </w:t>
            </w:r>
          </w:p>
        </w:tc>
        <w:tc>
          <w:tcPr>
            <w:tcW w:w="810" w:type="dxa"/>
            <w:shd w:val="clear" w:color="auto" w:fill="FFFFFF" w:themeFill="background1"/>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AAPL</w:t>
            </w:r>
          </w:p>
        </w:tc>
        <w:tc>
          <w:tcPr>
            <w:tcW w:w="900" w:type="dxa"/>
            <w:shd w:val="clear" w:color="auto" w:fill="FFFFFF" w:themeFill="background1"/>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Jackie</w:t>
            </w:r>
          </w:p>
        </w:tc>
        <w:tc>
          <w:tcPr>
            <w:tcW w:w="1440" w:type="dxa"/>
            <w:shd w:val="clear" w:color="auto" w:fill="FFFFFF" w:themeFill="background1"/>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FFFFFF" w:themeFill="background1"/>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shd w:val="clear" w:color="auto" w:fill="FFFFFF" w:themeFill="background1"/>
          </w:tcPr>
          <w:p w:rsidR="00783239" w:rsidRPr="0081005F" w:rsidRDefault="00783239" w:rsidP="002B61B1">
            <w:pPr>
              <w:spacing w:after="0" w:line="240" w:lineRule="auto"/>
              <w:jc w:val="center"/>
              <w:rPr>
                <w:rFonts w:eastAsia="Times New Roman"/>
                <w:sz w:val="18"/>
                <w:szCs w:val="18"/>
              </w:rPr>
            </w:pPr>
          </w:p>
        </w:tc>
        <w:tc>
          <w:tcPr>
            <w:tcW w:w="990" w:type="dxa"/>
            <w:shd w:val="clear" w:color="auto" w:fill="FFFFFF" w:themeFill="background1"/>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95</w:t>
            </w:r>
          </w:p>
        </w:tc>
        <w:tc>
          <w:tcPr>
            <w:tcW w:w="900" w:type="dxa"/>
            <w:shd w:val="clear" w:color="auto" w:fill="FFFFFF" w:themeFill="background1"/>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FFFFFF" w:themeFill="background1"/>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Sep.</w:t>
            </w:r>
          </w:p>
        </w:tc>
        <w:tc>
          <w:tcPr>
            <w:tcW w:w="1379" w:type="dxa"/>
            <w:shd w:val="clear" w:color="auto" w:fill="FFFFFF" w:themeFill="background1"/>
            <w:noWrap/>
            <w:vAlign w:val="bottom"/>
          </w:tcPr>
          <w:p w:rsidR="00783239" w:rsidRPr="00D43480" w:rsidRDefault="00783239" w:rsidP="002B61B1">
            <w:pPr>
              <w:spacing w:after="0" w:line="240" w:lineRule="auto"/>
              <w:jc w:val="center"/>
              <w:rPr>
                <w:rFonts w:eastAsia="Times New Roman"/>
                <w:sz w:val="18"/>
                <w:szCs w:val="18"/>
              </w:rPr>
            </w:pPr>
            <w:r>
              <w:rPr>
                <w:rFonts w:eastAsia="Times New Roman"/>
                <w:sz w:val="18"/>
                <w:szCs w:val="18"/>
              </w:rPr>
              <w:t>07-24/17</w:t>
            </w:r>
          </w:p>
        </w:tc>
      </w:tr>
      <w:tr w:rsidR="00783239" w:rsidRPr="0081005F" w:rsidTr="002B61B1">
        <w:trPr>
          <w:trHeight w:val="261"/>
          <w:jc w:val="center"/>
        </w:trPr>
        <w:tc>
          <w:tcPr>
            <w:tcW w:w="1340" w:type="dxa"/>
            <w:shd w:val="clear" w:color="auto" w:fill="auto"/>
            <w:noWrap/>
            <w:vAlign w:val="bottom"/>
          </w:tcPr>
          <w:p w:rsidR="00783239" w:rsidRPr="0081005F" w:rsidRDefault="00783239" w:rsidP="002B61B1">
            <w:pPr>
              <w:spacing w:after="0" w:line="240" w:lineRule="auto"/>
              <w:rPr>
                <w:rFonts w:eastAsia="Times New Roman"/>
                <w:sz w:val="18"/>
                <w:szCs w:val="18"/>
              </w:rPr>
            </w:pPr>
            <w:r>
              <w:rPr>
                <w:rFonts w:eastAsia="Times New Roman"/>
                <w:sz w:val="18"/>
                <w:szCs w:val="18"/>
              </w:rPr>
              <w:t>Berkshire Hath</w:t>
            </w:r>
          </w:p>
        </w:tc>
        <w:tc>
          <w:tcPr>
            <w:tcW w:w="810" w:type="dxa"/>
            <w:shd w:val="clear" w:color="auto" w:fill="auto"/>
            <w:noWrap/>
            <w:vAlign w:val="bottom"/>
          </w:tcPr>
          <w:p w:rsidR="00783239" w:rsidRPr="0081005F" w:rsidRDefault="00783239" w:rsidP="002B61B1">
            <w:pPr>
              <w:spacing w:after="0" w:line="240" w:lineRule="auto"/>
              <w:rPr>
                <w:rFonts w:eastAsia="Times New Roman"/>
                <w:sz w:val="18"/>
                <w:szCs w:val="18"/>
              </w:rPr>
            </w:pPr>
            <w:r>
              <w:rPr>
                <w:rFonts w:eastAsia="Times New Roman"/>
                <w:sz w:val="18"/>
                <w:szCs w:val="18"/>
              </w:rPr>
              <w:t>BRK.B</w:t>
            </w:r>
          </w:p>
        </w:tc>
        <w:tc>
          <w:tcPr>
            <w:tcW w:w="900" w:type="dxa"/>
            <w:shd w:val="clear" w:color="auto" w:fill="auto"/>
            <w:noWrap/>
            <w:vAlign w:val="bottom"/>
          </w:tcPr>
          <w:p w:rsidR="00783239" w:rsidRPr="0081005F" w:rsidRDefault="00783239" w:rsidP="002B61B1">
            <w:pPr>
              <w:spacing w:after="0" w:line="240" w:lineRule="auto"/>
              <w:rPr>
                <w:rFonts w:eastAsia="Times New Roman"/>
                <w:sz w:val="18"/>
                <w:szCs w:val="18"/>
              </w:rPr>
            </w:pPr>
            <w:r>
              <w:rPr>
                <w:rFonts w:eastAsia="Times New Roman"/>
                <w:sz w:val="18"/>
                <w:szCs w:val="18"/>
              </w:rPr>
              <w:t>(Jackie)</w:t>
            </w:r>
          </w:p>
        </w:tc>
        <w:tc>
          <w:tcPr>
            <w:tcW w:w="1440" w:type="dxa"/>
            <w:shd w:val="clear" w:color="auto" w:fill="auto"/>
            <w:noWrap/>
            <w:vAlign w:val="bottom"/>
          </w:tcPr>
          <w:p w:rsidR="00783239" w:rsidRPr="00662773" w:rsidRDefault="00783239" w:rsidP="002B61B1">
            <w:pPr>
              <w:spacing w:after="0" w:line="240" w:lineRule="auto"/>
              <w:jc w:val="center"/>
              <w:rPr>
                <w:rFonts w:eastAsia="Times New Roman"/>
                <w:sz w:val="18"/>
                <w:szCs w:val="18"/>
              </w:rPr>
            </w:pPr>
            <w:r w:rsidRPr="00662773">
              <w:rPr>
                <w:rFonts w:eastAsia="Times New Roman"/>
                <w:sz w:val="18"/>
                <w:szCs w:val="18"/>
              </w:rPr>
              <w:t>Limit order</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color w:val="FF0000"/>
                <w:sz w:val="18"/>
                <w:szCs w:val="18"/>
              </w:rPr>
            </w:pPr>
            <w:r w:rsidRPr="005538AC">
              <w:rPr>
                <w:rFonts w:eastAsia="Times New Roman"/>
                <w:sz w:val="18"/>
                <w:szCs w:val="18"/>
              </w:rPr>
              <w:t>$1600</w:t>
            </w:r>
          </w:p>
        </w:tc>
        <w:tc>
          <w:tcPr>
            <w:tcW w:w="990" w:type="dxa"/>
          </w:tcPr>
          <w:p w:rsidR="00783239" w:rsidRPr="0081005F" w:rsidRDefault="00783239" w:rsidP="002B61B1">
            <w:pPr>
              <w:spacing w:after="0" w:line="240" w:lineRule="auto"/>
              <w:jc w:val="center"/>
              <w:rPr>
                <w:rFonts w:eastAsia="Times New Roman"/>
                <w:sz w:val="18"/>
                <w:szCs w:val="18"/>
              </w:rPr>
            </w:pPr>
          </w:p>
        </w:tc>
        <w:tc>
          <w:tcPr>
            <w:tcW w:w="99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 xml:space="preserve">C. H. Robinson </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CHRW</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Larry</w:t>
            </w:r>
          </w:p>
        </w:tc>
        <w:tc>
          <w:tcPr>
            <w:tcW w:w="1440" w:type="dxa"/>
            <w:shd w:val="clear" w:color="auto" w:fill="auto"/>
            <w:noWrap/>
            <w:vAlign w:val="bottom"/>
          </w:tcPr>
          <w:p w:rsidR="00783239" w:rsidRPr="00662773"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color w:val="FF0000"/>
                <w:sz w:val="18"/>
                <w:szCs w:val="18"/>
              </w:rPr>
            </w:pPr>
          </w:p>
        </w:tc>
        <w:tc>
          <w:tcPr>
            <w:tcW w:w="990" w:type="dxa"/>
          </w:tcPr>
          <w:p w:rsidR="00783239" w:rsidRPr="0081005F" w:rsidRDefault="00783239" w:rsidP="002B61B1">
            <w:pPr>
              <w:spacing w:after="0" w:line="240" w:lineRule="auto"/>
              <w:jc w:val="center"/>
              <w:rPr>
                <w:rFonts w:eastAsia="Times New Roman"/>
                <w:sz w:val="18"/>
                <w:szCs w:val="18"/>
              </w:rPr>
            </w:pP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185</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 xml:space="preserve">Cerner  </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CERN</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Pr>
                <w:rFonts w:eastAsia="Times New Roman"/>
                <w:sz w:val="18"/>
                <w:szCs w:val="18"/>
              </w:rPr>
              <w:t>Gregory</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81005F" w:rsidRDefault="00783239" w:rsidP="002B61B1">
            <w:pPr>
              <w:spacing w:after="0" w:line="240" w:lineRule="auto"/>
              <w:jc w:val="center"/>
              <w:rPr>
                <w:rFonts w:eastAsia="Times New Roman"/>
                <w:sz w:val="18"/>
                <w:szCs w:val="18"/>
              </w:rPr>
            </w:pP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60</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Cognizant</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CTSH</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Pr>
                <w:rFonts w:eastAsia="Times New Roman"/>
                <w:sz w:val="18"/>
                <w:szCs w:val="18"/>
              </w:rPr>
              <w:t>?</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771A73" w:rsidRDefault="00783239" w:rsidP="002B61B1">
            <w:pPr>
              <w:spacing w:after="0" w:line="240" w:lineRule="auto"/>
              <w:jc w:val="center"/>
              <w:rPr>
                <w:rFonts w:eastAsia="Times New Roman"/>
                <w:sz w:val="16"/>
                <w:szCs w:val="16"/>
              </w:rPr>
            </w:pP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200</w:t>
            </w:r>
          </w:p>
        </w:tc>
        <w:tc>
          <w:tcPr>
            <w:tcW w:w="900" w:type="dxa"/>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8.8%</w:t>
            </w: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CVS Health</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CVS</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Latisha</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6-12</w:t>
            </w: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120</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Danaher</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DHR</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Harrison</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81005F" w:rsidRDefault="00783239" w:rsidP="002B61B1">
            <w:pPr>
              <w:spacing w:after="0" w:line="240" w:lineRule="auto"/>
              <w:jc w:val="center"/>
              <w:rPr>
                <w:rFonts w:eastAsia="Times New Roman"/>
                <w:sz w:val="18"/>
                <w:szCs w:val="18"/>
              </w:rPr>
            </w:pP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110</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Fastenal</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FAST</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Rich</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6-11</w:t>
            </w: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250</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 xml:space="preserve">Gilead </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GILD</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Kate</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HOLD/SELL</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BUY</w:t>
            </w:r>
          </w:p>
        </w:tc>
        <w:tc>
          <w:tcPr>
            <w:tcW w:w="990" w:type="dxa"/>
          </w:tcPr>
          <w:p w:rsidR="00783239" w:rsidRPr="0081005F" w:rsidRDefault="00783239" w:rsidP="002B61B1">
            <w:pPr>
              <w:spacing w:after="0" w:line="240" w:lineRule="auto"/>
              <w:jc w:val="center"/>
              <w:rPr>
                <w:rFonts w:eastAsia="Times New Roman"/>
                <w:sz w:val="18"/>
                <w:szCs w:val="18"/>
              </w:rPr>
            </w:pP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130</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 xml:space="preserve">LKQ Corp </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LKQ</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Frank</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6-12</w:t>
            </w: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375</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Novo Nordisk</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NVO</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Ian</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6-13</w:t>
            </w: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200</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Polaris</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PII</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Pr>
                <w:rFonts w:eastAsia="Times New Roman"/>
                <w:sz w:val="18"/>
                <w:szCs w:val="18"/>
              </w:rPr>
              <w:t>Nelson</w:t>
            </w:r>
          </w:p>
        </w:tc>
        <w:tc>
          <w:tcPr>
            <w:tcW w:w="1440" w:type="dxa"/>
            <w:shd w:val="clear" w:color="auto" w:fill="auto"/>
            <w:noWrap/>
            <w:vAlign w:val="bottom"/>
          </w:tcPr>
          <w:p w:rsidR="00783239" w:rsidRPr="00952D6E"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6-12</w:t>
            </w: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65</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Schlumberger</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SLB</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Mary</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6-12</w:t>
            </w: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140</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Signature Bank</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SBNY</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Craig</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Trim position of 20 shares</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HOLD</w:t>
            </w:r>
          </w:p>
        </w:tc>
        <w:tc>
          <w:tcPr>
            <w:tcW w:w="990" w:type="dxa"/>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6-11</w:t>
            </w: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110</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81005F" w:rsidTr="002B61B1">
        <w:trPr>
          <w:trHeight w:val="261"/>
          <w:jc w:val="center"/>
        </w:trPr>
        <w:tc>
          <w:tcPr>
            <w:tcW w:w="134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Starbucks</w:t>
            </w:r>
          </w:p>
        </w:tc>
        <w:tc>
          <w:tcPr>
            <w:tcW w:w="81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SBUX</w:t>
            </w:r>
          </w:p>
        </w:tc>
        <w:tc>
          <w:tcPr>
            <w:tcW w:w="900" w:type="dxa"/>
            <w:shd w:val="clear" w:color="auto" w:fill="auto"/>
            <w:noWrap/>
            <w:vAlign w:val="bottom"/>
            <w:hideMark/>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Gerry</w:t>
            </w:r>
          </w:p>
        </w:tc>
        <w:tc>
          <w:tcPr>
            <w:tcW w:w="144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BUY</w:t>
            </w:r>
          </w:p>
        </w:tc>
        <w:tc>
          <w:tcPr>
            <w:tcW w:w="126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c>
          <w:tcPr>
            <w:tcW w:w="990" w:type="dxa"/>
          </w:tcPr>
          <w:p w:rsidR="00783239" w:rsidRPr="0081005F" w:rsidRDefault="00783239" w:rsidP="002B61B1">
            <w:pPr>
              <w:spacing w:after="0" w:line="240" w:lineRule="auto"/>
              <w:jc w:val="center"/>
              <w:rPr>
                <w:rFonts w:eastAsia="Times New Roman"/>
                <w:sz w:val="18"/>
                <w:szCs w:val="18"/>
              </w:rPr>
            </w:pPr>
          </w:p>
        </w:tc>
        <w:tc>
          <w:tcPr>
            <w:tcW w:w="99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60</w:t>
            </w:r>
          </w:p>
        </w:tc>
        <w:tc>
          <w:tcPr>
            <w:tcW w:w="900" w:type="dxa"/>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hideMark/>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Sep</w:t>
            </w:r>
          </w:p>
        </w:tc>
        <w:tc>
          <w:tcPr>
            <w:tcW w:w="1379"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r>
      <w:tr w:rsidR="00783239" w:rsidRPr="00D43480" w:rsidTr="002B61B1">
        <w:trPr>
          <w:trHeight w:val="261"/>
          <w:jc w:val="center"/>
        </w:trPr>
        <w:tc>
          <w:tcPr>
            <w:tcW w:w="1340" w:type="dxa"/>
            <w:shd w:val="clear" w:color="auto" w:fill="auto"/>
            <w:noWrap/>
            <w:vAlign w:val="bottom"/>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Tractor Supply</w:t>
            </w:r>
          </w:p>
        </w:tc>
        <w:tc>
          <w:tcPr>
            <w:tcW w:w="810" w:type="dxa"/>
            <w:shd w:val="clear" w:color="auto" w:fill="auto"/>
            <w:noWrap/>
            <w:vAlign w:val="bottom"/>
          </w:tcPr>
          <w:p w:rsidR="00783239" w:rsidRPr="0081005F" w:rsidRDefault="00783239" w:rsidP="002B61B1">
            <w:pPr>
              <w:spacing w:after="0" w:line="240" w:lineRule="auto"/>
              <w:rPr>
                <w:rFonts w:eastAsia="Times New Roman"/>
                <w:sz w:val="18"/>
                <w:szCs w:val="18"/>
              </w:rPr>
            </w:pPr>
            <w:r w:rsidRPr="0081005F">
              <w:rPr>
                <w:rFonts w:eastAsia="Times New Roman"/>
                <w:sz w:val="18"/>
                <w:szCs w:val="18"/>
              </w:rPr>
              <w:t>TSCO</w:t>
            </w:r>
          </w:p>
        </w:tc>
        <w:tc>
          <w:tcPr>
            <w:tcW w:w="900" w:type="dxa"/>
            <w:shd w:val="clear" w:color="auto" w:fill="auto"/>
            <w:noWrap/>
            <w:vAlign w:val="bottom"/>
          </w:tcPr>
          <w:p w:rsidR="00783239" w:rsidRPr="0081005F" w:rsidRDefault="00783239" w:rsidP="002B61B1">
            <w:pPr>
              <w:spacing w:after="0" w:line="240" w:lineRule="auto"/>
              <w:rPr>
                <w:rFonts w:eastAsia="Times New Roman"/>
                <w:sz w:val="18"/>
                <w:szCs w:val="18"/>
              </w:rPr>
            </w:pPr>
            <w:r>
              <w:rPr>
                <w:rFonts w:eastAsia="Times New Roman"/>
                <w:sz w:val="18"/>
                <w:szCs w:val="18"/>
              </w:rPr>
              <w:t>Dene</w:t>
            </w:r>
          </w:p>
        </w:tc>
        <w:tc>
          <w:tcPr>
            <w:tcW w:w="1440" w:type="dxa"/>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BUY</w:t>
            </w:r>
          </w:p>
        </w:tc>
        <w:tc>
          <w:tcPr>
            <w:tcW w:w="1260" w:type="dxa"/>
            <w:vAlign w:val="bottom"/>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BUY</w:t>
            </w:r>
          </w:p>
        </w:tc>
        <w:tc>
          <w:tcPr>
            <w:tcW w:w="990" w:type="dxa"/>
          </w:tcPr>
          <w:p w:rsidR="00783239" w:rsidRPr="0081005F" w:rsidRDefault="00783239" w:rsidP="002B61B1">
            <w:pPr>
              <w:spacing w:after="0" w:line="240" w:lineRule="auto"/>
              <w:jc w:val="center"/>
              <w:rPr>
                <w:rFonts w:eastAsia="Times New Roman"/>
                <w:sz w:val="18"/>
                <w:szCs w:val="18"/>
              </w:rPr>
            </w:pPr>
            <w:r>
              <w:rPr>
                <w:rFonts w:eastAsia="Times New Roman"/>
                <w:sz w:val="18"/>
                <w:szCs w:val="18"/>
              </w:rPr>
              <w:t>6-12</w:t>
            </w:r>
          </w:p>
        </w:tc>
        <w:tc>
          <w:tcPr>
            <w:tcW w:w="990" w:type="dxa"/>
            <w:vAlign w:val="bottom"/>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50</w:t>
            </w:r>
          </w:p>
        </w:tc>
        <w:tc>
          <w:tcPr>
            <w:tcW w:w="90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p>
        </w:tc>
        <w:tc>
          <w:tcPr>
            <w:tcW w:w="900" w:type="dxa"/>
            <w:shd w:val="clear" w:color="auto" w:fill="auto"/>
            <w:noWrap/>
            <w:vAlign w:val="bottom"/>
          </w:tcPr>
          <w:p w:rsidR="00783239" w:rsidRPr="0081005F" w:rsidRDefault="00783239" w:rsidP="002B61B1">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783239" w:rsidRPr="00D43480" w:rsidRDefault="00783239" w:rsidP="002B61B1">
            <w:pPr>
              <w:spacing w:after="0" w:line="240" w:lineRule="auto"/>
              <w:jc w:val="center"/>
              <w:rPr>
                <w:rFonts w:eastAsia="Times New Roman"/>
                <w:sz w:val="18"/>
                <w:szCs w:val="18"/>
              </w:rPr>
            </w:pPr>
          </w:p>
        </w:tc>
      </w:tr>
      <w:tr w:rsidR="00783239" w:rsidRPr="00D43480" w:rsidTr="000D57C1">
        <w:trPr>
          <w:trHeight w:val="278"/>
          <w:jc w:val="center"/>
        </w:trPr>
        <w:tc>
          <w:tcPr>
            <w:tcW w:w="1340" w:type="dxa"/>
          </w:tcPr>
          <w:p w:rsidR="00783239" w:rsidRDefault="00783239" w:rsidP="002B61B1">
            <w:pPr>
              <w:spacing w:after="0"/>
              <w:ind w:left="21"/>
              <w:jc w:val="center"/>
              <w:rPr>
                <w:rFonts w:eastAsia="Times New Roman"/>
                <w:b/>
                <w:sz w:val="24"/>
              </w:rPr>
            </w:pPr>
          </w:p>
        </w:tc>
        <w:tc>
          <w:tcPr>
            <w:tcW w:w="9569" w:type="dxa"/>
            <w:gridSpan w:val="9"/>
            <w:shd w:val="clear" w:color="auto" w:fill="auto"/>
            <w:noWrap/>
            <w:vAlign w:val="center"/>
          </w:tcPr>
          <w:p w:rsidR="00783239" w:rsidRPr="00A66B2D" w:rsidRDefault="00783239" w:rsidP="002B61B1">
            <w:pPr>
              <w:spacing w:after="0"/>
              <w:ind w:left="21"/>
              <w:jc w:val="center"/>
              <w:rPr>
                <w:rFonts w:eastAsia="Times New Roman"/>
                <w:sz w:val="18"/>
                <w:szCs w:val="18"/>
              </w:rPr>
            </w:pPr>
            <w:r w:rsidRPr="00A66B2D">
              <w:rPr>
                <w:rFonts w:eastAsia="Times New Roman"/>
                <w:b/>
                <w:sz w:val="18"/>
                <w:szCs w:val="18"/>
              </w:rPr>
              <w:t>Stocks on “Pounce / Watch List”</w:t>
            </w:r>
          </w:p>
        </w:tc>
      </w:tr>
      <w:tr w:rsidR="00783239" w:rsidRPr="00D32130" w:rsidTr="002B61B1">
        <w:trPr>
          <w:trHeight w:val="170"/>
          <w:jc w:val="center"/>
        </w:trPr>
        <w:tc>
          <w:tcPr>
            <w:tcW w:w="1340" w:type="dxa"/>
            <w:shd w:val="clear" w:color="auto" w:fill="auto"/>
            <w:noWrap/>
            <w:vAlign w:val="center"/>
          </w:tcPr>
          <w:p w:rsidR="00783239" w:rsidRPr="00D32130" w:rsidRDefault="00783239" w:rsidP="002B61B1">
            <w:pPr>
              <w:spacing w:after="0" w:line="240" w:lineRule="auto"/>
              <w:rPr>
                <w:rFonts w:eastAsia="Times New Roman"/>
                <w:sz w:val="18"/>
                <w:szCs w:val="18"/>
              </w:rPr>
            </w:pPr>
            <w:r w:rsidRPr="00D32130">
              <w:rPr>
                <w:rFonts w:eastAsia="Times New Roman"/>
                <w:sz w:val="18"/>
                <w:szCs w:val="18"/>
              </w:rPr>
              <w:t>ULTA</w:t>
            </w:r>
          </w:p>
        </w:tc>
        <w:tc>
          <w:tcPr>
            <w:tcW w:w="810" w:type="dxa"/>
            <w:shd w:val="clear" w:color="auto" w:fill="auto"/>
            <w:noWrap/>
            <w:vAlign w:val="center"/>
          </w:tcPr>
          <w:p w:rsidR="00783239" w:rsidRPr="00D32130" w:rsidRDefault="00783239" w:rsidP="002B61B1">
            <w:pPr>
              <w:spacing w:after="0" w:line="240" w:lineRule="auto"/>
              <w:rPr>
                <w:rFonts w:eastAsia="Times New Roman"/>
                <w:sz w:val="18"/>
                <w:szCs w:val="18"/>
              </w:rPr>
            </w:pPr>
            <w:r w:rsidRPr="00D32130">
              <w:rPr>
                <w:rFonts w:eastAsia="Times New Roman"/>
                <w:sz w:val="18"/>
                <w:szCs w:val="18"/>
              </w:rPr>
              <w:t>ULTA</w:t>
            </w:r>
          </w:p>
        </w:tc>
        <w:tc>
          <w:tcPr>
            <w:tcW w:w="900" w:type="dxa"/>
            <w:shd w:val="clear" w:color="auto" w:fill="auto"/>
            <w:noWrap/>
            <w:vAlign w:val="center"/>
          </w:tcPr>
          <w:p w:rsidR="00783239" w:rsidRPr="00D32130" w:rsidRDefault="00783239" w:rsidP="002B61B1">
            <w:pPr>
              <w:spacing w:after="0" w:line="240" w:lineRule="auto"/>
              <w:rPr>
                <w:rFonts w:eastAsia="Times New Roman"/>
                <w:sz w:val="18"/>
                <w:szCs w:val="18"/>
              </w:rPr>
            </w:pPr>
            <w:r w:rsidRPr="00D32130">
              <w:rPr>
                <w:rFonts w:eastAsia="Times New Roman"/>
                <w:sz w:val="18"/>
                <w:szCs w:val="18"/>
              </w:rPr>
              <w:t>Ian</w:t>
            </w:r>
          </w:p>
        </w:tc>
        <w:tc>
          <w:tcPr>
            <w:tcW w:w="2700" w:type="dxa"/>
            <w:gridSpan w:val="2"/>
          </w:tcPr>
          <w:p w:rsidR="00783239" w:rsidRPr="00D32130" w:rsidRDefault="00783239" w:rsidP="002B61B1">
            <w:pPr>
              <w:spacing w:after="0" w:line="240" w:lineRule="auto"/>
              <w:jc w:val="center"/>
              <w:rPr>
                <w:rFonts w:eastAsia="Times New Roman"/>
                <w:sz w:val="18"/>
                <w:szCs w:val="18"/>
              </w:rPr>
            </w:pPr>
            <w:r w:rsidRPr="00D32130">
              <w:rPr>
                <w:rFonts w:eastAsia="Times New Roman"/>
                <w:sz w:val="18"/>
                <w:szCs w:val="18"/>
              </w:rPr>
              <w:t>Buy range: TBD</w:t>
            </w:r>
          </w:p>
        </w:tc>
        <w:tc>
          <w:tcPr>
            <w:tcW w:w="990" w:type="dxa"/>
          </w:tcPr>
          <w:p w:rsidR="00783239" w:rsidRPr="00D32130" w:rsidRDefault="00783239" w:rsidP="002B61B1">
            <w:pPr>
              <w:spacing w:after="0" w:line="240" w:lineRule="auto"/>
              <w:jc w:val="center"/>
              <w:rPr>
                <w:rFonts w:eastAsia="Times New Roman"/>
                <w:sz w:val="18"/>
                <w:szCs w:val="18"/>
              </w:rPr>
            </w:pPr>
          </w:p>
        </w:tc>
        <w:tc>
          <w:tcPr>
            <w:tcW w:w="990" w:type="dxa"/>
          </w:tcPr>
          <w:p w:rsidR="00783239" w:rsidRPr="00D32130" w:rsidRDefault="00783239" w:rsidP="002B61B1">
            <w:pPr>
              <w:spacing w:after="0" w:line="240" w:lineRule="auto"/>
              <w:jc w:val="center"/>
              <w:rPr>
                <w:rFonts w:eastAsia="Times New Roman"/>
                <w:sz w:val="18"/>
                <w:szCs w:val="18"/>
              </w:rPr>
            </w:pPr>
          </w:p>
        </w:tc>
        <w:tc>
          <w:tcPr>
            <w:tcW w:w="900" w:type="dxa"/>
            <w:shd w:val="clear" w:color="auto" w:fill="auto"/>
            <w:noWrap/>
            <w:vAlign w:val="center"/>
          </w:tcPr>
          <w:p w:rsidR="00783239" w:rsidRPr="00D32130" w:rsidRDefault="00783239" w:rsidP="002B61B1">
            <w:pPr>
              <w:spacing w:after="0" w:line="240" w:lineRule="auto"/>
              <w:jc w:val="center"/>
              <w:rPr>
                <w:rFonts w:eastAsia="Times New Roman"/>
                <w:sz w:val="18"/>
                <w:szCs w:val="18"/>
              </w:rPr>
            </w:pPr>
          </w:p>
        </w:tc>
        <w:tc>
          <w:tcPr>
            <w:tcW w:w="900" w:type="dxa"/>
            <w:shd w:val="clear" w:color="auto" w:fill="auto"/>
            <w:noWrap/>
            <w:vAlign w:val="center"/>
          </w:tcPr>
          <w:p w:rsidR="00783239" w:rsidRPr="00D32130" w:rsidRDefault="00783239" w:rsidP="002B61B1">
            <w:pPr>
              <w:spacing w:after="0" w:line="240" w:lineRule="auto"/>
              <w:jc w:val="center"/>
              <w:rPr>
                <w:rFonts w:eastAsia="Times New Roman"/>
                <w:sz w:val="18"/>
                <w:szCs w:val="18"/>
              </w:rPr>
            </w:pPr>
          </w:p>
        </w:tc>
        <w:tc>
          <w:tcPr>
            <w:tcW w:w="1379" w:type="dxa"/>
            <w:shd w:val="clear" w:color="auto" w:fill="auto"/>
            <w:noWrap/>
            <w:vAlign w:val="center"/>
          </w:tcPr>
          <w:p w:rsidR="00783239" w:rsidRPr="00D32130" w:rsidRDefault="00783239" w:rsidP="002B61B1">
            <w:pPr>
              <w:spacing w:after="0" w:line="240" w:lineRule="auto"/>
              <w:jc w:val="center"/>
              <w:rPr>
                <w:rFonts w:eastAsia="Times New Roman"/>
                <w:sz w:val="18"/>
                <w:szCs w:val="18"/>
              </w:rPr>
            </w:pPr>
            <w:r w:rsidRPr="00D32130">
              <w:rPr>
                <w:rFonts w:eastAsia="Times New Roman"/>
                <w:sz w:val="18"/>
                <w:szCs w:val="18"/>
              </w:rPr>
              <w:t>5/25/17</w:t>
            </w:r>
          </w:p>
        </w:tc>
      </w:tr>
      <w:tr w:rsidR="00783239" w:rsidRPr="00D32130" w:rsidTr="002B61B1">
        <w:trPr>
          <w:trHeight w:val="161"/>
          <w:jc w:val="center"/>
        </w:trPr>
        <w:tc>
          <w:tcPr>
            <w:tcW w:w="1340" w:type="dxa"/>
            <w:shd w:val="clear" w:color="auto" w:fill="auto"/>
            <w:noWrap/>
            <w:vAlign w:val="center"/>
          </w:tcPr>
          <w:p w:rsidR="00783239" w:rsidRPr="00D32130" w:rsidRDefault="00783239" w:rsidP="002B61B1">
            <w:pPr>
              <w:spacing w:after="0" w:line="240" w:lineRule="auto"/>
              <w:rPr>
                <w:rFonts w:eastAsia="Times New Roman"/>
                <w:sz w:val="18"/>
                <w:szCs w:val="18"/>
              </w:rPr>
            </w:pPr>
            <w:r w:rsidRPr="00D32130">
              <w:rPr>
                <w:rFonts w:eastAsia="Times New Roman"/>
                <w:sz w:val="18"/>
                <w:szCs w:val="18"/>
              </w:rPr>
              <w:t>NIC INC</w:t>
            </w:r>
          </w:p>
        </w:tc>
        <w:tc>
          <w:tcPr>
            <w:tcW w:w="810" w:type="dxa"/>
            <w:shd w:val="clear" w:color="auto" w:fill="auto"/>
            <w:noWrap/>
            <w:vAlign w:val="center"/>
          </w:tcPr>
          <w:p w:rsidR="00783239" w:rsidRPr="00D32130" w:rsidRDefault="00783239" w:rsidP="002B61B1">
            <w:pPr>
              <w:spacing w:after="0" w:line="240" w:lineRule="auto"/>
              <w:rPr>
                <w:rFonts w:eastAsia="Times New Roman"/>
                <w:sz w:val="18"/>
                <w:szCs w:val="18"/>
              </w:rPr>
            </w:pPr>
            <w:r w:rsidRPr="00D32130">
              <w:rPr>
                <w:rFonts w:eastAsia="Times New Roman"/>
                <w:sz w:val="18"/>
                <w:szCs w:val="18"/>
              </w:rPr>
              <w:t>EGOV</w:t>
            </w:r>
          </w:p>
        </w:tc>
        <w:tc>
          <w:tcPr>
            <w:tcW w:w="900" w:type="dxa"/>
            <w:shd w:val="clear" w:color="auto" w:fill="auto"/>
            <w:noWrap/>
            <w:vAlign w:val="center"/>
          </w:tcPr>
          <w:p w:rsidR="00783239" w:rsidRPr="00D32130" w:rsidRDefault="00783239" w:rsidP="002B61B1">
            <w:pPr>
              <w:spacing w:after="0" w:line="240" w:lineRule="auto"/>
              <w:rPr>
                <w:rFonts w:eastAsia="Times New Roman"/>
                <w:sz w:val="18"/>
                <w:szCs w:val="18"/>
              </w:rPr>
            </w:pPr>
            <w:r w:rsidRPr="00D32130">
              <w:rPr>
                <w:rFonts w:eastAsia="Times New Roman"/>
                <w:sz w:val="18"/>
                <w:szCs w:val="18"/>
              </w:rPr>
              <w:t>Michele</w:t>
            </w:r>
          </w:p>
        </w:tc>
        <w:tc>
          <w:tcPr>
            <w:tcW w:w="2700" w:type="dxa"/>
            <w:gridSpan w:val="2"/>
          </w:tcPr>
          <w:p w:rsidR="00783239" w:rsidRPr="00D32130" w:rsidRDefault="00783239" w:rsidP="002B61B1">
            <w:pPr>
              <w:spacing w:after="0" w:line="240" w:lineRule="auto"/>
              <w:jc w:val="center"/>
              <w:rPr>
                <w:rFonts w:eastAsia="Times New Roman"/>
                <w:sz w:val="18"/>
                <w:szCs w:val="18"/>
              </w:rPr>
            </w:pPr>
            <w:r w:rsidRPr="00D32130">
              <w:rPr>
                <w:rFonts w:eastAsia="Times New Roman"/>
                <w:sz w:val="18"/>
                <w:szCs w:val="18"/>
              </w:rPr>
              <w:t xml:space="preserve">Buy range: </w:t>
            </w:r>
          </w:p>
        </w:tc>
        <w:tc>
          <w:tcPr>
            <w:tcW w:w="990" w:type="dxa"/>
          </w:tcPr>
          <w:p w:rsidR="00783239" w:rsidRPr="00D32130" w:rsidRDefault="00783239" w:rsidP="002B61B1">
            <w:pPr>
              <w:spacing w:after="0" w:line="240" w:lineRule="auto"/>
              <w:jc w:val="center"/>
              <w:rPr>
                <w:rFonts w:eastAsia="Times New Roman"/>
                <w:sz w:val="18"/>
                <w:szCs w:val="18"/>
              </w:rPr>
            </w:pPr>
          </w:p>
        </w:tc>
        <w:tc>
          <w:tcPr>
            <w:tcW w:w="990" w:type="dxa"/>
          </w:tcPr>
          <w:p w:rsidR="00783239" w:rsidRPr="00D32130" w:rsidRDefault="00783239" w:rsidP="002B61B1">
            <w:pPr>
              <w:spacing w:after="0" w:line="240" w:lineRule="auto"/>
              <w:jc w:val="center"/>
              <w:rPr>
                <w:rFonts w:eastAsia="Times New Roman"/>
                <w:sz w:val="18"/>
                <w:szCs w:val="18"/>
              </w:rPr>
            </w:pPr>
          </w:p>
        </w:tc>
        <w:tc>
          <w:tcPr>
            <w:tcW w:w="900" w:type="dxa"/>
            <w:shd w:val="clear" w:color="auto" w:fill="auto"/>
            <w:noWrap/>
            <w:vAlign w:val="center"/>
          </w:tcPr>
          <w:p w:rsidR="00783239" w:rsidRPr="00D32130" w:rsidRDefault="00783239" w:rsidP="002B61B1">
            <w:pPr>
              <w:spacing w:after="0" w:line="240" w:lineRule="auto"/>
              <w:jc w:val="center"/>
              <w:rPr>
                <w:rFonts w:eastAsia="Times New Roman"/>
                <w:sz w:val="18"/>
                <w:szCs w:val="18"/>
              </w:rPr>
            </w:pPr>
          </w:p>
        </w:tc>
        <w:tc>
          <w:tcPr>
            <w:tcW w:w="900" w:type="dxa"/>
            <w:shd w:val="clear" w:color="auto" w:fill="auto"/>
            <w:noWrap/>
            <w:vAlign w:val="center"/>
          </w:tcPr>
          <w:p w:rsidR="00783239" w:rsidRPr="00D32130" w:rsidRDefault="00783239" w:rsidP="002B61B1">
            <w:pPr>
              <w:spacing w:after="0" w:line="240" w:lineRule="auto"/>
              <w:jc w:val="center"/>
              <w:rPr>
                <w:rFonts w:eastAsia="Times New Roman"/>
                <w:sz w:val="18"/>
                <w:szCs w:val="18"/>
              </w:rPr>
            </w:pPr>
          </w:p>
        </w:tc>
        <w:tc>
          <w:tcPr>
            <w:tcW w:w="1379" w:type="dxa"/>
            <w:shd w:val="clear" w:color="auto" w:fill="auto"/>
            <w:noWrap/>
            <w:vAlign w:val="center"/>
          </w:tcPr>
          <w:p w:rsidR="00783239" w:rsidRPr="00D32130" w:rsidRDefault="00783239" w:rsidP="002B61B1">
            <w:pPr>
              <w:spacing w:after="0" w:line="240" w:lineRule="auto"/>
              <w:jc w:val="center"/>
              <w:rPr>
                <w:rFonts w:eastAsia="Times New Roman"/>
                <w:sz w:val="18"/>
                <w:szCs w:val="18"/>
              </w:rPr>
            </w:pPr>
          </w:p>
        </w:tc>
      </w:tr>
    </w:tbl>
    <w:p w:rsidR="00783239" w:rsidRDefault="00783239" w:rsidP="00783239">
      <w:pPr>
        <w:spacing w:after="0"/>
        <w:jc w:val="center"/>
        <w:rPr>
          <w:rFonts w:eastAsia="Times New Roman"/>
          <w:b/>
          <w:sz w:val="18"/>
          <w:szCs w:val="18"/>
        </w:rPr>
      </w:pPr>
    </w:p>
    <w:p w:rsidR="00C21012" w:rsidRPr="004218A8" w:rsidRDefault="00C21012" w:rsidP="00C21012">
      <w:pPr>
        <w:pStyle w:val="ListParagraph"/>
        <w:widowControl w:val="0"/>
        <w:autoSpaceDE w:val="0"/>
        <w:autoSpaceDN w:val="0"/>
        <w:adjustRightInd w:val="0"/>
        <w:spacing w:after="0" w:line="240" w:lineRule="auto"/>
        <w:ind w:left="0"/>
        <w:rPr>
          <w:bCs/>
          <w:u w:val="single"/>
          <w:lang w:val="en"/>
        </w:rPr>
      </w:pPr>
      <w:r w:rsidRPr="00C21012">
        <w:rPr>
          <w:b/>
          <w:bCs/>
          <w:u w:val="single"/>
          <w:lang w:val="en"/>
        </w:rPr>
        <w:t>Portfolio Analysis:</w:t>
      </w:r>
      <w:r w:rsidR="004218A8">
        <w:rPr>
          <w:b/>
          <w:bCs/>
          <w:lang w:val="en"/>
        </w:rPr>
        <w:t xml:space="preserve"> </w:t>
      </w:r>
      <w:r w:rsidR="004218A8" w:rsidRPr="004218A8">
        <w:rPr>
          <w:bCs/>
          <w:lang w:val="en"/>
        </w:rPr>
        <w:t>Marty prepared a</w:t>
      </w:r>
      <w:r w:rsidR="004218A8">
        <w:rPr>
          <w:b/>
          <w:bCs/>
          <w:lang w:val="en"/>
        </w:rPr>
        <w:t xml:space="preserve">n </w:t>
      </w:r>
      <w:r w:rsidR="004218A8" w:rsidRPr="004218A8">
        <w:rPr>
          <w:bCs/>
          <w:lang w:val="en"/>
        </w:rPr>
        <w:t>extensive report on the club’s portfolio</w:t>
      </w:r>
      <w:r w:rsidR="004218A8">
        <w:rPr>
          <w:bCs/>
          <w:lang w:val="en"/>
        </w:rPr>
        <w:t>, including data on each of the holdings. See the report</w:t>
      </w:r>
      <w:r w:rsidR="00C4603E">
        <w:rPr>
          <w:bCs/>
          <w:lang w:val="en"/>
        </w:rPr>
        <w:t>, ‘</w:t>
      </w:r>
      <w:proofErr w:type="spellStart"/>
      <w:r w:rsidR="00C4603E" w:rsidRPr="00C4603E">
        <w:rPr>
          <w:bCs/>
          <w:lang w:val="en"/>
        </w:rPr>
        <w:t>CinMIC</w:t>
      </w:r>
      <w:proofErr w:type="spellEnd"/>
      <w:r w:rsidR="00C4603E" w:rsidRPr="00C4603E">
        <w:rPr>
          <w:bCs/>
          <w:lang w:val="en"/>
        </w:rPr>
        <w:t xml:space="preserve"> Portfolio Analysis - Close of the Bell Report 170504</w:t>
      </w:r>
      <w:r w:rsidR="00C4603E">
        <w:rPr>
          <w:bCs/>
          <w:lang w:val="en"/>
        </w:rPr>
        <w:t>’,</w:t>
      </w:r>
      <w:r w:rsidR="004218A8">
        <w:rPr>
          <w:bCs/>
          <w:lang w:val="en"/>
        </w:rPr>
        <w:t xml:space="preserve"> posted </w:t>
      </w:r>
      <w:r w:rsidR="00C4603E">
        <w:rPr>
          <w:bCs/>
          <w:lang w:val="en"/>
        </w:rPr>
        <w:t xml:space="preserve">to </w:t>
      </w:r>
      <w:proofErr w:type="spellStart"/>
      <w:r w:rsidR="00C4603E">
        <w:rPr>
          <w:bCs/>
          <w:lang w:val="en"/>
        </w:rPr>
        <w:t>bivio</w:t>
      </w:r>
      <w:proofErr w:type="spellEnd"/>
      <w:r w:rsidR="00C4603E">
        <w:rPr>
          <w:bCs/>
          <w:lang w:val="en"/>
        </w:rPr>
        <w:t xml:space="preserve"> </w:t>
      </w:r>
      <w:r w:rsidR="004218A8">
        <w:rPr>
          <w:bCs/>
          <w:lang w:val="en"/>
        </w:rPr>
        <w:t xml:space="preserve">on Fri, 6/16/17 for detail. He highlighted stocks with a small portfolio percentage, sub-par revenue growth projections, weak EPS stability, and Nicholson Triple Plays. All were above 80 quality but half were below the Manifest Investing sweet spot. The report closed noting that while the club’s IRR for the past 15 years was 5.4%, the Vanguard </w:t>
      </w:r>
      <w:r w:rsidR="00C4603E">
        <w:rPr>
          <w:bCs/>
          <w:lang w:val="en"/>
        </w:rPr>
        <w:t>Total Stock Market Index (</w:t>
      </w:r>
      <w:r w:rsidR="004218A8">
        <w:rPr>
          <w:bCs/>
          <w:lang w:val="en"/>
        </w:rPr>
        <w:t>VTSMX</w:t>
      </w:r>
      <w:r w:rsidR="00C4603E">
        <w:rPr>
          <w:bCs/>
          <w:lang w:val="en"/>
        </w:rPr>
        <w:t>)</w:t>
      </w:r>
      <w:r w:rsidR="004218A8">
        <w:rPr>
          <w:bCs/>
          <w:lang w:val="en"/>
        </w:rPr>
        <w:t xml:space="preserve"> was 10.8%.</w:t>
      </w:r>
    </w:p>
    <w:p w:rsidR="00C21012" w:rsidRPr="00C21012" w:rsidRDefault="00C21012" w:rsidP="00C21012">
      <w:pPr>
        <w:pStyle w:val="ListParagraph"/>
        <w:widowControl w:val="0"/>
        <w:autoSpaceDE w:val="0"/>
        <w:autoSpaceDN w:val="0"/>
        <w:adjustRightInd w:val="0"/>
        <w:spacing w:after="0" w:line="240" w:lineRule="auto"/>
        <w:ind w:left="0"/>
        <w:rPr>
          <w:bCs/>
          <w:u w:val="single"/>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t>Future Education Schedule:</w:t>
      </w:r>
    </w:p>
    <w:tbl>
      <w:tblPr>
        <w:tblW w:w="0" w:type="auto"/>
        <w:tblInd w:w="216" w:type="dxa"/>
        <w:tblLayout w:type="fixed"/>
        <w:tblLook w:val="0000" w:firstRow="0" w:lastRow="0" w:firstColumn="0" w:lastColumn="0" w:noHBand="0" w:noVBand="0"/>
      </w:tblPr>
      <w:tblGrid>
        <w:gridCol w:w="1664"/>
        <w:gridCol w:w="3337"/>
        <w:gridCol w:w="4680"/>
      </w:tblGrid>
      <w:tr w:rsidR="00C21012"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C21012" w:rsidRDefault="00C21012" w:rsidP="00C21012">
            <w:pPr>
              <w:widowControl w:val="0"/>
              <w:autoSpaceDE w:val="0"/>
              <w:autoSpaceDN w:val="0"/>
              <w:adjustRightInd w:val="0"/>
              <w:spacing w:after="0" w:line="240" w:lineRule="auto"/>
              <w:rPr>
                <w:lang w:val="en"/>
              </w:rPr>
            </w:pPr>
            <w:r>
              <w:rPr>
                <w:lang w:val="en"/>
              </w:rPr>
              <w:t>July</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C21012" w:rsidRPr="000602F2" w:rsidRDefault="00C21012" w:rsidP="00C21012">
            <w:pPr>
              <w:widowControl w:val="0"/>
              <w:autoSpaceDE w:val="0"/>
              <w:autoSpaceDN w:val="0"/>
              <w:adjustRightInd w:val="0"/>
              <w:spacing w:after="0" w:line="240" w:lineRule="auto"/>
              <w:rPr>
                <w:lang w:val="en"/>
              </w:rPr>
            </w:pPr>
            <w:r>
              <w:rPr>
                <w:lang w:val="en"/>
              </w:rPr>
              <w:t xml:space="preserve">Larry </w:t>
            </w:r>
            <w:proofErr w:type="spellStart"/>
            <w:r>
              <w:rPr>
                <w:lang w:val="en"/>
              </w:rPr>
              <w:t>Averbeck</w:t>
            </w:r>
            <w:proofErr w:type="spellEnd"/>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C21012" w:rsidRPr="000602F2" w:rsidRDefault="000D57C1" w:rsidP="00C21012">
            <w:pPr>
              <w:widowControl w:val="0"/>
              <w:autoSpaceDE w:val="0"/>
              <w:autoSpaceDN w:val="0"/>
              <w:adjustRightInd w:val="0"/>
              <w:spacing w:after="0" w:line="240" w:lineRule="auto"/>
              <w:rPr>
                <w:lang w:val="en"/>
              </w:rPr>
            </w:pPr>
            <w:r>
              <w:rPr>
                <w:lang w:val="en"/>
              </w:rPr>
              <w:t>Dividends</w:t>
            </w:r>
          </w:p>
        </w:tc>
      </w:tr>
      <w:tr w:rsidR="00C21012"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C21012" w:rsidRDefault="00C21012" w:rsidP="00C21012">
            <w:pPr>
              <w:widowControl w:val="0"/>
              <w:autoSpaceDE w:val="0"/>
              <w:autoSpaceDN w:val="0"/>
              <w:adjustRightInd w:val="0"/>
              <w:spacing w:after="0" w:line="240" w:lineRule="auto"/>
              <w:rPr>
                <w:lang w:val="en"/>
              </w:rPr>
            </w:pPr>
            <w:r>
              <w:rPr>
                <w:lang w:val="en"/>
              </w:rPr>
              <w:t>August</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C21012" w:rsidRPr="000602F2" w:rsidRDefault="00C21012" w:rsidP="00C21012">
            <w:pPr>
              <w:widowControl w:val="0"/>
              <w:autoSpaceDE w:val="0"/>
              <w:autoSpaceDN w:val="0"/>
              <w:adjustRightInd w:val="0"/>
              <w:spacing w:after="0" w:line="240" w:lineRule="auto"/>
              <w:rPr>
                <w:lang w:val="en"/>
              </w:rPr>
            </w:pPr>
            <w:r>
              <w:rPr>
                <w:lang w:val="en"/>
              </w:rPr>
              <w:t>Gregg Hopkins</w:t>
            </w: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C21012" w:rsidRPr="000602F2" w:rsidRDefault="00C21012" w:rsidP="00C21012">
            <w:pPr>
              <w:widowControl w:val="0"/>
              <w:autoSpaceDE w:val="0"/>
              <w:autoSpaceDN w:val="0"/>
              <w:adjustRightInd w:val="0"/>
              <w:spacing w:after="0" w:line="240" w:lineRule="auto"/>
              <w:rPr>
                <w:lang w:val="en"/>
              </w:rPr>
            </w:pPr>
            <w:proofErr w:type="spellStart"/>
            <w:r>
              <w:rPr>
                <w:lang w:val="en"/>
              </w:rPr>
              <w:t>tbd</w:t>
            </w:r>
            <w:proofErr w:type="spellEnd"/>
            <w:r>
              <w:rPr>
                <w:lang w:val="en"/>
              </w:rPr>
              <w:t xml:space="preserve"> </w:t>
            </w:r>
          </w:p>
        </w:tc>
      </w:tr>
    </w:tbl>
    <w:p w:rsidR="00972EA1" w:rsidRDefault="00972EA1"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Pr="00757409">
        <w:rPr>
          <w:bCs/>
          <w:u w:val="single"/>
          <w:lang w:val="en"/>
        </w:rPr>
        <w:t xml:space="preserve">  </w:t>
      </w:r>
    </w:p>
    <w:tbl>
      <w:tblPr>
        <w:tblW w:w="0" w:type="auto"/>
        <w:tblInd w:w="216" w:type="dxa"/>
        <w:tblLayout w:type="fixed"/>
        <w:tblLook w:val="0000" w:firstRow="0" w:lastRow="0" w:firstColumn="0" w:lastColumn="0" w:noHBand="0" w:noVBand="0"/>
      </w:tblPr>
      <w:tblGrid>
        <w:gridCol w:w="1662"/>
        <w:gridCol w:w="3990"/>
        <w:gridCol w:w="2662"/>
      </w:tblGrid>
      <w:tr w:rsidR="00C21012"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C21012" w:rsidRDefault="00C21012" w:rsidP="00C21012">
            <w:pPr>
              <w:widowControl w:val="0"/>
              <w:autoSpaceDE w:val="0"/>
              <w:autoSpaceDN w:val="0"/>
              <w:adjustRightInd w:val="0"/>
              <w:spacing w:after="0" w:line="240" w:lineRule="auto"/>
              <w:rPr>
                <w:lang w:val="en"/>
              </w:rPr>
            </w:pPr>
            <w:r>
              <w:rPr>
                <w:lang w:val="en"/>
              </w:rPr>
              <w:t>July</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C21012" w:rsidRDefault="00C21012" w:rsidP="00C21012">
            <w:pPr>
              <w:widowControl w:val="0"/>
              <w:autoSpaceDE w:val="0"/>
              <w:autoSpaceDN w:val="0"/>
              <w:adjustRightInd w:val="0"/>
              <w:spacing w:after="0" w:line="240" w:lineRule="auto"/>
              <w:rPr>
                <w:lang w:val="en"/>
              </w:rPr>
            </w:pPr>
            <w:r>
              <w:rPr>
                <w:lang w:val="en"/>
              </w:rPr>
              <w:t xml:space="preserve">Harrison </w:t>
            </w:r>
            <w:proofErr w:type="spellStart"/>
            <w:r>
              <w:rPr>
                <w:lang w:val="en"/>
              </w:rPr>
              <w:t>Baumbaugh</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C21012" w:rsidRDefault="00C21012" w:rsidP="00C21012">
            <w:pPr>
              <w:widowControl w:val="0"/>
              <w:autoSpaceDE w:val="0"/>
              <w:autoSpaceDN w:val="0"/>
              <w:adjustRightInd w:val="0"/>
              <w:spacing w:after="0" w:line="240" w:lineRule="auto"/>
              <w:rPr>
                <w:lang w:val="en"/>
              </w:rPr>
            </w:pPr>
            <w:proofErr w:type="spellStart"/>
            <w:r>
              <w:rPr>
                <w:lang w:val="en"/>
              </w:rPr>
              <w:t>tbd</w:t>
            </w:r>
            <w:proofErr w:type="spellEnd"/>
          </w:p>
        </w:tc>
      </w:tr>
      <w:tr w:rsidR="0001642D"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C21012" w:rsidP="0001642D">
            <w:pPr>
              <w:widowControl w:val="0"/>
              <w:autoSpaceDE w:val="0"/>
              <w:autoSpaceDN w:val="0"/>
              <w:adjustRightInd w:val="0"/>
              <w:spacing w:after="0" w:line="240" w:lineRule="auto"/>
              <w:rPr>
                <w:lang w:val="en"/>
              </w:rPr>
            </w:pPr>
            <w:r>
              <w:rPr>
                <w:lang w:val="en"/>
              </w:rPr>
              <w:t>August</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C21012" w:rsidP="0001642D">
            <w:pPr>
              <w:widowControl w:val="0"/>
              <w:autoSpaceDE w:val="0"/>
              <w:autoSpaceDN w:val="0"/>
              <w:adjustRightInd w:val="0"/>
              <w:spacing w:after="0" w:line="240" w:lineRule="auto"/>
              <w:rPr>
                <w:lang w:val="en"/>
              </w:rPr>
            </w:pPr>
            <w:r>
              <w:rPr>
                <w:lang w:val="en"/>
              </w:rPr>
              <w:t xml:space="preserve">Larry </w:t>
            </w:r>
            <w:proofErr w:type="spellStart"/>
            <w:r>
              <w:rPr>
                <w:lang w:val="en"/>
              </w:rPr>
              <w:t>Averbeck</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0D57C1" w:rsidP="0001642D">
            <w:pPr>
              <w:widowControl w:val="0"/>
              <w:autoSpaceDE w:val="0"/>
              <w:autoSpaceDN w:val="0"/>
              <w:adjustRightInd w:val="0"/>
              <w:spacing w:after="0" w:line="240" w:lineRule="auto"/>
              <w:rPr>
                <w:lang w:val="en"/>
              </w:rPr>
            </w:pPr>
            <w:proofErr w:type="spellStart"/>
            <w:r>
              <w:rPr>
                <w:lang w:val="en"/>
              </w:rPr>
              <w:t>tbd</w:t>
            </w:r>
            <w:proofErr w:type="spellEnd"/>
          </w:p>
        </w:tc>
      </w:tr>
    </w:tbl>
    <w:p w:rsidR="00440BE4" w:rsidRPr="000602F2" w:rsidRDefault="00440BE4" w:rsidP="000B566B">
      <w:pPr>
        <w:widowControl w:val="0"/>
        <w:autoSpaceDE w:val="0"/>
        <w:autoSpaceDN w:val="0"/>
        <w:adjustRightInd w:val="0"/>
        <w:spacing w:after="0" w:line="240" w:lineRule="auto"/>
        <w:rPr>
          <w:lang w:val="en"/>
        </w:rPr>
      </w:pPr>
    </w:p>
    <w:p w:rsidR="00442140" w:rsidRDefault="00442140" w:rsidP="00442140">
      <w:pPr>
        <w:widowControl w:val="0"/>
        <w:autoSpaceDE w:val="0"/>
        <w:autoSpaceDN w:val="0"/>
        <w:adjustRightInd w:val="0"/>
        <w:spacing w:after="0" w:line="240" w:lineRule="auto"/>
        <w:rPr>
          <w:bCs/>
          <w:lang w:val="en"/>
        </w:rPr>
      </w:pPr>
      <w:r w:rsidRPr="00757409">
        <w:rPr>
          <w:b/>
          <w:bCs/>
          <w:u w:val="single"/>
          <w:lang w:val="en"/>
        </w:rPr>
        <w:t>Buy/Sell Decisions:</w:t>
      </w:r>
      <w:r w:rsidR="00533BC2" w:rsidRPr="00533BC2">
        <w:rPr>
          <w:b/>
          <w:bCs/>
          <w:lang w:val="en"/>
        </w:rPr>
        <w:t xml:space="preserve"> </w:t>
      </w:r>
      <w:r w:rsidR="00533BC2">
        <w:rPr>
          <w:bCs/>
          <w:lang w:val="en"/>
        </w:rPr>
        <w:t>(</w:t>
      </w:r>
      <w:r w:rsidR="00417B27">
        <w:rPr>
          <w:bCs/>
          <w:lang w:val="en"/>
        </w:rPr>
        <w:t xml:space="preserve">motion/second: action, type, </w:t>
      </w:r>
      <w:r w:rsidR="00533BC2">
        <w:rPr>
          <w:bCs/>
          <w:lang w:val="en"/>
        </w:rPr>
        <w:t>yes/no/abstain)</w:t>
      </w:r>
    </w:p>
    <w:p w:rsidR="004218A8" w:rsidRDefault="007A4D0A" w:rsidP="004218A8">
      <w:pPr>
        <w:pStyle w:val="ListParagraph"/>
        <w:widowControl w:val="0"/>
        <w:numPr>
          <w:ilvl w:val="0"/>
          <w:numId w:val="40"/>
        </w:numPr>
        <w:autoSpaceDE w:val="0"/>
        <w:autoSpaceDN w:val="0"/>
        <w:adjustRightInd w:val="0"/>
        <w:spacing w:after="0" w:line="240" w:lineRule="auto"/>
        <w:rPr>
          <w:bCs/>
          <w:lang w:val="en"/>
        </w:rPr>
      </w:pPr>
      <w:r>
        <w:rPr>
          <w:bCs/>
          <w:lang w:val="en"/>
        </w:rPr>
        <w:lastRenderedPageBreak/>
        <w:t>Nelson/Gregg: cancel the BRK.B limit order, 15/2/0</w:t>
      </w:r>
    </w:p>
    <w:p w:rsidR="007A4D0A" w:rsidRDefault="007A4D0A" w:rsidP="004218A8">
      <w:pPr>
        <w:pStyle w:val="ListParagraph"/>
        <w:widowControl w:val="0"/>
        <w:numPr>
          <w:ilvl w:val="0"/>
          <w:numId w:val="40"/>
        </w:numPr>
        <w:autoSpaceDE w:val="0"/>
        <w:autoSpaceDN w:val="0"/>
        <w:adjustRightInd w:val="0"/>
        <w:spacing w:after="0" w:line="240" w:lineRule="auto"/>
        <w:rPr>
          <w:bCs/>
          <w:lang w:val="en"/>
        </w:rPr>
      </w:pPr>
      <w:r>
        <w:rPr>
          <w:bCs/>
          <w:lang w:val="en"/>
        </w:rPr>
        <w:t xml:space="preserve">Dene/Mary: sell 25sh of the first lot </w:t>
      </w:r>
      <w:r w:rsidR="000D57C1">
        <w:rPr>
          <w:bCs/>
          <w:lang w:val="en"/>
        </w:rPr>
        <w:t>dated 8/17/15</w:t>
      </w:r>
      <w:r>
        <w:rPr>
          <w:bCs/>
          <w:lang w:val="en"/>
        </w:rPr>
        <w:t xml:space="preserve"> of GILD at window, 15/2/0</w:t>
      </w:r>
    </w:p>
    <w:p w:rsidR="00C21012" w:rsidRDefault="007A4D0A" w:rsidP="00137B26">
      <w:pPr>
        <w:pStyle w:val="ListParagraph"/>
        <w:widowControl w:val="0"/>
        <w:numPr>
          <w:ilvl w:val="0"/>
          <w:numId w:val="40"/>
        </w:numPr>
        <w:autoSpaceDE w:val="0"/>
        <w:autoSpaceDN w:val="0"/>
        <w:adjustRightInd w:val="0"/>
        <w:spacing w:after="0" w:line="240" w:lineRule="auto"/>
      </w:pPr>
      <w:r w:rsidRPr="007A4D0A">
        <w:rPr>
          <w:bCs/>
          <w:lang w:val="en"/>
        </w:rPr>
        <w:t>Marty/Larry: sell all of GILD at window, 3/14/0</w:t>
      </w:r>
    </w:p>
    <w:p w:rsidR="00DF0306" w:rsidRDefault="003804F7" w:rsidP="00DF0306">
      <w:pPr>
        <w:spacing w:after="0"/>
      </w:pPr>
      <w:r>
        <w:t>N</w:t>
      </w:r>
      <w:r w:rsidR="00DF0306">
        <w:t>ote: use “chat box” on web votes to verify for all votes.</w:t>
      </w:r>
    </w:p>
    <w:p w:rsidR="0001642D" w:rsidRDefault="0001642D" w:rsidP="00442140">
      <w:pPr>
        <w:widowControl w:val="0"/>
        <w:autoSpaceDE w:val="0"/>
        <w:autoSpaceDN w:val="0"/>
        <w:adjustRightInd w:val="0"/>
        <w:spacing w:after="0" w:line="240" w:lineRule="auto"/>
        <w:rPr>
          <w:lang w:val="en"/>
        </w:rPr>
      </w:pPr>
    </w:p>
    <w:p w:rsidR="004F6832" w:rsidRPr="008E1B96" w:rsidRDefault="00440BE4" w:rsidP="000B566B">
      <w:pPr>
        <w:widowControl w:val="0"/>
        <w:autoSpaceDE w:val="0"/>
        <w:autoSpaceDN w:val="0"/>
        <w:adjustRightInd w:val="0"/>
        <w:spacing w:after="0" w:line="240" w:lineRule="auto"/>
        <w:rPr>
          <w:bCs/>
          <w:lang w:val="en"/>
        </w:rPr>
      </w:pPr>
      <w:r w:rsidRPr="00757409">
        <w:rPr>
          <w:b/>
          <w:bCs/>
          <w:u w:val="single"/>
          <w:lang w:val="en"/>
        </w:rPr>
        <w:t>Next Meeting</w:t>
      </w:r>
      <w:r w:rsidRPr="000602F2">
        <w:rPr>
          <w:b/>
          <w:bCs/>
          <w:lang w:val="en"/>
        </w:rPr>
        <w:t>:</w:t>
      </w:r>
      <w:r w:rsidRPr="008E1B96">
        <w:rPr>
          <w:bCs/>
          <w:lang w:val="en"/>
        </w:rPr>
        <w:t xml:space="preserve"> </w:t>
      </w:r>
      <w:r w:rsidR="008E1B96">
        <w:rPr>
          <w:bCs/>
          <w:lang w:val="en"/>
        </w:rPr>
        <w:t xml:space="preserve">mid-month study group: July 1, boardroom; regular meeting: </w:t>
      </w:r>
      <w:r w:rsidR="00A6186D">
        <w:rPr>
          <w:bCs/>
          <w:lang w:val="en"/>
        </w:rPr>
        <w:t>July 15, boardroom</w:t>
      </w:r>
    </w:p>
    <w:p w:rsidR="004F6832" w:rsidRPr="000602F2" w:rsidRDefault="004F6832" w:rsidP="000B566B">
      <w:pPr>
        <w:widowControl w:val="0"/>
        <w:autoSpaceDE w:val="0"/>
        <w:autoSpaceDN w:val="0"/>
        <w:adjustRightInd w:val="0"/>
        <w:spacing w:after="0" w:line="240" w:lineRule="auto"/>
        <w:rPr>
          <w:b/>
          <w:bCs/>
          <w:lang w:val="en"/>
        </w:rPr>
      </w:pPr>
    </w:p>
    <w:p w:rsidR="00A53EB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146B28">
        <w:rPr>
          <w:bCs/>
          <w:lang w:val="en"/>
        </w:rPr>
        <w:t xml:space="preserve">Dene </w:t>
      </w:r>
      <w:r w:rsidR="003F27A1">
        <w:rPr>
          <w:bCs/>
          <w:lang w:val="en"/>
        </w:rPr>
        <w:t>at</w:t>
      </w:r>
      <w:r w:rsidR="00533BC2">
        <w:rPr>
          <w:bCs/>
          <w:lang w:val="en"/>
        </w:rPr>
        <w:t xml:space="preserve"> </w:t>
      </w:r>
      <w:r w:rsidR="00E364A2">
        <w:rPr>
          <w:bCs/>
          <w:lang w:val="en"/>
        </w:rPr>
        <w:t>11:</w:t>
      </w:r>
      <w:r w:rsidR="007A4D0A">
        <w:rPr>
          <w:bCs/>
          <w:lang w:val="en"/>
        </w:rPr>
        <w:t>59</w:t>
      </w:r>
      <w:r w:rsidR="009517C5">
        <w:rPr>
          <w:bCs/>
          <w:lang w:val="en"/>
        </w:rPr>
        <w:t>a</w:t>
      </w:r>
    </w:p>
    <w:p w:rsidR="00A53EB2" w:rsidRDefault="00A53EB2" w:rsidP="000B566B">
      <w:pPr>
        <w:widowControl w:val="0"/>
        <w:autoSpaceDE w:val="0"/>
        <w:autoSpaceDN w:val="0"/>
        <w:adjustRightInd w:val="0"/>
        <w:spacing w:after="0" w:line="240" w:lineRule="auto"/>
        <w:rPr>
          <w:b/>
          <w:lang w:val="en"/>
        </w:rPr>
      </w:pPr>
    </w:p>
    <w:p w:rsidR="00CA0754" w:rsidRDefault="00CA0754" w:rsidP="000B566B">
      <w:pPr>
        <w:widowControl w:val="0"/>
        <w:autoSpaceDE w:val="0"/>
        <w:autoSpaceDN w:val="0"/>
        <w:adjustRightInd w:val="0"/>
        <w:spacing w:after="0" w:line="240" w:lineRule="auto"/>
        <w:rPr>
          <w:lang w:val="en"/>
        </w:rPr>
      </w:pPr>
      <w:r w:rsidRPr="00CA0754">
        <w:rPr>
          <w:b/>
          <w:lang w:val="en"/>
        </w:rPr>
        <w:t>Post-Adjournment Discussion:</w:t>
      </w:r>
      <w:r>
        <w:rPr>
          <w:lang w:val="en"/>
        </w:rPr>
        <w:t xml:space="preserve"> </w:t>
      </w:r>
    </w:p>
    <w:p w:rsidR="00CA0754" w:rsidRDefault="00CA0754" w:rsidP="000B566B">
      <w:pPr>
        <w:widowControl w:val="0"/>
        <w:autoSpaceDE w:val="0"/>
        <w:autoSpaceDN w:val="0"/>
        <w:adjustRightInd w:val="0"/>
        <w:spacing w:after="0" w:line="240" w:lineRule="auto"/>
        <w:rPr>
          <w:lang w:val="en"/>
        </w:rPr>
      </w:pPr>
    </w:p>
    <w:p w:rsidR="00E77264"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D66C54">
        <w:rPr>
          <w:lang w:val="en"/>
        </w:rPr>
        <w:t xml:space="preserve"> Rich Alden, recording partner.</w:t>
      </w:r>
    </w:p>
    <w:p w:rsidR="004D7ABE" w:rsidRPr="000602F2" w:rsidRDefault="004D7ABE" w:rsidP="00B24F26">
      <w:pPr>
        <w:rPr>
          <w:lang w:val="en"/>
        </w:rPr>
      </w:pPr>
    </w:p>
    <w:sectPr w:rsidR="004D7ABE" w:rsidRPr="000602F2" w:rsidSect="00B42F2E">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8C" w:rsidRDefault="00FD358C" w:rsidP="002A4572">
      <w:pPr>
        <w:spacing w:after="0" w:line="240" w:lineRule="auto"/>
      </w:pPr>
      <w:r>
        <w:separator/>
      </w:r>
    </w:p>
  </w:endnote>
  <w:endnote w:type="continuationSeparator" w:id="0">
    <w:p w:rsidR="00FD358C" w:rsidRDefault="00FD358C"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2F9" w:rsidRDefault="006452F9">
    <w:pPr>
      <w:pStyle w:val="Footer"/>
      <w:jc w:val="right"/>
    </w:pPr>
    <w:r>
      <w:fldChar w:fldCharType="begin"/>
    </w:r>
    <w:r>
      <w:instrText xml:space="preserve"> PAGE   \* MERGEFORMAT </w:instrText>
    </w:r>
    <w:r>
      <w:fldChar w:fldCharType="separate"/>
    </w:r>
    <w:r w:rsidR="00E364A2">
      <w:rPr>
        <w:noProof/>
      </w:rPr>
      <w:t>1</w:t>
    </w:r>
    <w:r>
      <w:fldChar w:fldCharType="end"/>
    </w:r>
  </w:p>
  <w:p w:rsidR="006452F9" w:rsidRDefault="00645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8C" w:rsidRDefault="00FD358C" w:rsidP="002A4572">
      <w:pPr>
        <w:spacing w:after="0" w:line="240" w:lineRule="auto"/>
      </w:pPr>
      <w:r>
        <w:separator/>
      </w:r>
    </w:p>
  </w:footnote>
  <w:footnote w:type="continuationSeparator" w:id="0">
    <w:p w:rsidR="00FD358C" w:rsidRDefault="00FD358C"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3BD"/>
    <w:multiLevelType w:val="hybridMultilevel"/>
    <w:tmpl w:val="A746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E2373"/>
    <w:multiLevelType w:val="hybridMultilevel"/>
    <w:tmpl w:val="E8F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4D545C"/>
    <w:multiLevelType w:val="hybridMultilevel"/>
    <w:tmpl w:val="1BF2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75831"/>
    <w:multiLevelType w:val="hybridMultilevel"/>
    <w:tmpl w:val="1ECE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56544"/>
    <w:multiLevelType w:val="hybridMultilevel"/>
    <w:tmpl w:val="7A58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37CC7"/>
    <w:multiLevelType w:val="hybridMultilevel"/>
    <w:tmpl w:val="5CFE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F6D68"/>
    <w:multiLevelType w:val="hybridMultilevel"/>
    <w:tmpl w:val="0F58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82286"/>
    <w:multiLevelType w:val="hybridMultilevel"/>
    <w:tmpl w:val="5B9E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103B9C"/>
    <w:multiLevelType w:val="hybridMultilevel"/>
    <w:tmpl w:val="FA04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52B40"/>
    <w:multiLevelType w:val="hybridMultilevel"/>
    <w:tmpl w:val="E68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C54F2"/>
    <w:multiLevelType w:val="hybridMultilevel"/>
    <w:tmpl w:val="444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7115F"/>
    <w:multiLevelType w:val="hybridMultilevel"/>
    <w:tmpl w:val="162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68043A"/>
    <w:multiLevelType w:val="hybridMultilevel"/>
    <w:tmpl w:val="9C4C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6F29CE"/>
    <w:multiLevelType w:val="hybridMultilevel"/>
    <w:tmpl w:val="F700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A0AAF"/>
    <w:multiLevelType w:val="hybridMultilevel"/>
    <w:tmpl w:val="384E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27678C"/>
    <w:multiLevelType w:val="hybridMultilevel"/>
    <w:tmpl w:val="80F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9491C"/>
    <w:multiLevelType w:val="hybridMultilevel"/>
    <w:tmpl w:val="9566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BC7C1C"/>
    <w:multiLevelType w:val="hybridMultilevel"/>
    <w:tmpl w:val="1956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5E0764"/>
    <w:multiLevelType w:val="hybridMultilevel"/>
    <w:tmpl w:val="6732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53584"/>
    <w:multiLevelType w:val="hybridMultilevel"/>
    <w:tmpl w:val="9E8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2765"/>
    <w:multiLevelType w:val="hybridMultilevel"/>
    <w:tmpl w:val="07BC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3F5DA7"/>
    <w:multiLevelType w:val="hybridMultilevel"/>
    <w:tmpl w:val="1FBE43D6"/>
    <w:lvl w:ilvl="0" w:tplc="CB96AC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A81E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1080B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65F5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D64874">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1AA98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B2243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228A7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6E6A6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51527F37"/>
    <w:multiLevelType w:val="hybridMultilevel"/>
    <w:tmpl w:val="5AF00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D413D4"/>
    <w:multiLevelType w:val="hybridMultilevel"/>
    <w:tmpl w:val="7BC6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855225"/>
    <w:multiLevelType w:val="hybridMultilevel"/>
    <w:tmpl w:val="1698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D46D39"/>
    <w:multiLevelType w:val="hybridMultilevel"/>
    <w:tmpl w:val="4404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635893"/>
    <w:multiLevelType w:val="hybridMultilevel"/>
    <w:tmpl w:val="A934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43443"/>
    <w:multiLevelType w:val="hybridMultilevel"/>
    <w:tmpl w:val="544C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71F5B"/>
    <w:multiLevelType w:val="hybridMultilevel"/>
    <w:tmpl w:val="3BD0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9A4A03"/>
    <w:multiLevelType w:val="hybridMultilevel"/>
    <w:tmpl w:val="129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0377F3"/>
    <w:multiLevelType w:val="hybridMultilevel"/>
    <w:tmpl w:val="0318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9"/>
  </w:num>
  <w:num w:numId="4">
    <w:abstractNumId w:val="36"/>
  </w:num>
  <w:num w:numId="5">
    <w:abstractNumId w:val="39"/>
  </w:num>
  <w:num w:numId="6">
    <w:abstractNumId w:val="32"/>
  </w:num>
  <w:num w:numId="7">
    <w:abstractNumId w:val="11"/>
  </w:num>
  <w:num w:numId="8">
    <w:abstractNumId w:val="21"/>
  </w:num>
  <w:num w:numId="9">
    <w:abstractNumId w:val="19"/>
  </w:num>
  <w:num w:numId="10">
    <w:abstractNumId w:val="25"/>
  </w:num>
  <w:num w:numId="11">
    <w:abstractNumId w:val="1"/>
  </w:num>
  <w:num w:numId="12">
    <w:abstractNumId w:val="37"/>
  </w:num>
  <w:num w:numId="13">
    <w:abstractNumId w:val="28"/>
  </w:num>
  <w:num w:numId="14">
    <w:abstractNumId w:val="15"/>
  </w:num>
  <w:num w:numId="15">
    <w:abstractNumId w:val="34"/>
  </w:num>
  <w:num w:numId="16">
    <w:abstractNumId w:val="38"/>
  </w:num>
  <w:num w:numId="17">
    <w:abstractNumId w:val="35"/>
  </w:num>
  <w:num w:numId="18">
    <w:abstractNumId w:val="12"/>
  </w:num>
  <w:num w:numId="19">
    <w:abstractNumId w:val="17"/>
  </w:num>
  <w:num w:numId="20">
    <w:abstractNumId w:val="4"/>
  </w:num>
  <w:num w:numId="21">
    <w:abstractNumId w:val="5"/>
  </w:num>
  <w:num w:numId="22">
    <w:abstractNumId w:val="26"/>
  </w:num>
  <w:num w:numId="23">
    <w:abstractNumId w:val="6"/>
  </w:num>
  <w:num w:numId="24">
    <w:abstractNumId w:val="18"/>
  </w:num>
  <w:num w:numId="25">
    <w:abstractNumId w:val="23"/>
  </w:num>
  <w:num w:numId="26">
    <w:abstractNumId w:val="0"/>
  </w:num>
  <w:num w:numId="27">
    <w:abstractNumId w:val="31"/>
  </w:num>
  <w:num w:numId="28">
    <w:abstractNumId w:val="33"/>
  </w:num>
  <w:num w:numId="29">
    <w:abstractNumId w:val="27"/>
  </w:num>
  <w:num w:numId="30">
    <w:abstractNumId w:val="24"/>
  </w:num>
  <w:num w:numId="31">
    <w:abstractNumId w:val="22"/>
  </w:num>
  <w:num w:numId="32">
    <w:abstractNumId w:val="14"/>
  </w:num>
  <w:num w:numId="33">
    <w:abstractNumId w:val="20"/>
  </w:num>
  <w:num w:numId="34">
    <w:abstractNumId w:val="16"/>
  </w:num>
  <w:num w:numId="35">
    <w:abstractNumId w:val="30"/>
  </w:num>
  <w:num w:numId="36">
    <w:abstractNumId w:val="9"/>
  </w:num>
  <w:num w:numId="37">
    <w:abstractNumId w:val="13"/>
  </w:num>
  <w:num w:numId="38">
    <w:abstractNumId w:val="8"/>
  </w:num>
  <w:num w:numId="39">
    <w:abstractNumId w:val="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0616C"/>
    <w:rsid w:val="00011ED0"/>
    <w:rsid w:val="000142BF"/>
    <w:rsid w:val="0001642D"/>
    <w:rsid w:val="00023178"/>
    <w:rsid w:val="0004005C"/>
    <w:rsid w:val="0004038A"/>
    <w:rsid w:val="00041055"/>
    <w:rsid w:val="00041373"/>
    <w:rsid w:val="00043E86"/>
    <w:rsid w:val="0005074D"/>
    <w:rsid w:val="00054759"/>
    <w:rsid w:val="000602F2"/>
    <w:rsid w:val="00062049"/>
    <w:rsid w:val="00071C39"/>
    <w:rsid w:val="00076101"/>
    <w:rsid w:val="00092D74"/>
    <w:rsid w:val="000A73A4"/>
    <w:rsid w:val="000B0517"/>
    <w:rsid w:val="000B0529"/>
    <w:rsid w:val="000B183D"/>
    <w:rsid w:val="000B422E"/>
    <w:rsid w:val="000B566B"/>
    <w:rsid w:val="000D2A9F"/>
    <w:rsid w:val="000D4AB7"/>
    <w:rsid w:val="000D57C1"/>
    <w:rsid w:val="000E3E4B"/>
    <w:rsid w:val="000E4EB2"/>
    <w:rsid w:val="000F593C"/>
    <w:rsid w:val="00102270"/>
    <w:rsid w:val="00102C0E"/>
    <w:rsid w:val="00121C90"/>
    <w:rsid w:val="00123D4D"/>
    <w:rsid w:val="00130073"/>
    <w:rsid w:val="00142072"/>
    <w:rsid w:val="00142673"/>
    <w:rsid w:val="0014445E"/>
    <w:rsid w:val="00146B28"/>
    <w:rsid w:val="0014761F"/>
    <w:rsid w:val="0015170B"/>
    <w:rsid w:val="00161D17"/>
    <w:rsid w:val="00162525"/>
    <w:rsid w:val="00162F92"/>
    <w:rsid w:val="00184D03"/>
    <w:rsid w:val="001866F5"/>
    <w:rsid w:val="001A0D16"/>
    <w:rsid w:val="001A4E93"/>
    <w:rsid w:val="001B330B"/>
    <w:rsid w:val="001B4C52"/>
    <w:rsid w:val="001F1D61"/>
    <w:rsid w:val="00200C02"/>
    <w:rsid w:val="00201629"/>
    <w:rsid w:val="0020493D"/>
    <w:rsid w:val="00212C54"/>
    <w:rsid w:val="00213D79"/>
    <w:rsid w:val="00216576"/>
    <w:rsid w:val="002241AF"/>
    <w:rsid w:val="002268FB"/>
    <w:rsid w:val="00241743"/>
    <w:rsid w:val="002427C9"/>
    <w:rsid w:val="002547D0"/>
    <w:rsid w:val="0025597D"/>
    <w:rsid w:val="00266818"/>
    <w:rsid w:val="0027713C"/>
    <w:rsid w:val="002864DE"/>
    <w:rsid w:val="002A4572"/>
    <w:rsid w:val="002A4B0C"/>
    <w:rsid w:val="002A5BD2"/>
    <w:rsid w:val="002B61B1"/>
    <w:rsid w:val="002B69FE"/>
    <w:rsid w:val="002B6D6C"/>
    <w:rsid w:val="002B79E6"/>
    <w:rsid w:val="002B7AC2"/>
    <w:rsid w:val="002C0F69"/>
    <w:rsid w:val="002C3DA7"/>
    <w:rsid w:val="002C48A3"/>
    <w:rsid w:val="002D6E53"/>
    <w:rsid w:val="002D7FF2"/>
    <w:rsid w:val="002E33B4"/>
    <w:rsid w:val="002F4B06"/>
    <w:rsid w:val="002F512B"/>
    <w:rsid w:val="00304C2A"/>
    <w:rsid w:val="00306CDE"/>
    <w:rsid w:val="0031106E"/>
    <w:rsid w:val="00320FF0"/>
    <w:rsid w:val="00333048"/>
    <w:rsid w:val="003369AD"/>
    <w:rsid w:val="00336C5A"/>
    <w:rsid w:val="00340A2F"/>
    <w:rsid w:val="00341E4D"/>
    <w:rsid w:val="00343C25"/>
    <w:rsid w:val="00344702"/>
    <w:rsid w:val="00344CB3"/>
    <w:rsid w:val="0036182A"/>
    <w:rsid w:val="00363FC2"/>
    <w:rsid w:val="003710AB"/>
    <w:rsid w:val="00372C9D"/>
    <w:rsid w:val="00376370"/>
    <w:rsid w:val="003804F7"/>
    <w:rsid w:val="00382376"/>
    <w:rsid w:val="00384557"/>
    <w:rsid w:val="003A127D"/>
    <w:rsid w:val="003A7912"/>
    <w:rsid w:val="003B0A91"/>
    <w:rsid w:val="003B163B"/>
    <w:rsid w:val="003C3387"/>
    <w:rsid w:val="003C5747"/>
    <w:rsid w:val="003D0018"/>
    <w:rsid w:val="003F2240"/>
    <w:rsid w:val="003F27A1"/>
    <w:rsid w:val="004043D4"/>
    <w:rsid w:val="00417B27"/>
    <w:rsid w:val="004218A8"/>
    <w:rsid w:val="00440BE4"/>
    <w:rsid w:val="00440E14"/>
    <w:rsid w:val="004412F0"/>
    <w:rsid w:val="004417A7"/>
    <w:rsid w:val="00442140"/>
    <w:rsid w:val="0044305D"/>
    <w:rsid w:val="004703BC"/>
    <w:rsid w:val="00487E71"/>
    <w:rsid w:val="004A6076"/>
    <w:rsid w:val="004B4940"/>
    <w:rsid w:val="004B636E"/>
    <w:rsid w:val="004C0F9F"/>
    <w:rsid w:val="004D1B16"/>
    <w:rsid w:val="004D2844"/>
    <w:rsid w:val="004D7ABE"/>
    <w:rsid w:val="004E367E"/>
    <w:rsid w:val="004F1404"/>
    <w:rsid w:val="004F6832"/>
    <w:rsid w:val="00500094"/>
    <w:rsid w:val="0050308A"/>
    <w:rsid w:val="00513DEC"/>
    <w:rsid w:val="00514B85"/>
    <w:rsid w:val="0052501D"/>
    <w:rsid w:val="0052681D"/>
    <w:rsid w:val="00532EFC"/>
    <w:rsid w:val="00532F9B"/>
    <w:rsid w:val="00533BC2"/>
    <w:rsid w:val="00543320"/>
    <w:rsid w:val="005563A0"/>
    <w:rsid w:val="00570BB0"/>
    <w:rsid w:val="005742AE"/>
    <w:rsid w:val="0057722D"/>
    <w:rsid w:val="00590F3A"/>
    <w:rsid w:val="00591250"/>
    <w:rsid w:val="005A1684"/>
    <w:rsid w:val="005A584F"/>
    <w:rsid w:val="005A5ED9"/>
    <w:rsid w:val="005B565F"/>
    <w:rsid w:val="005C6CB3"/>
    <w:rsid w:val="005D1C17"/>
    <w:rsid w:val="005D2740"/>
    <w:rsid w:val="005D785D"/>
    <w:rsid w:val="005E106F"/>
    <w:rsid w:val="00612188"/>
    <w:rsid w:val="006308F8"/>
    <w:rsid w:val="006408F8"/>
    <w:rsid w:val="006452F9"/>
    <w:rsid w:val="00653B91"/>
    <w:rsid w:val="00657F5D"/>
    <w:rsid w:val="006757D1"/>
    <w:rsid w:val="006757D2"/>
    <w:rsid w:val="006804AE"/>
    <w:rsid w:val="006855DF"/>
    <w:rsid w:val="006939A2"/>
    <w:rsid w:val="006A3CE7"/>
    <w:rsid w:val="006A4018"/>
    <w:rsid w:val="006D1221"/>
    <w:rsid w:val="006D47B7"/>
    <w:rsid w:val="006D512F"/>
    <w:rsid w:val="006E14D3"/>
    <w:rsid w:val="006E14F8"/>
    <w:rsid w:val="006E1D1B"/>
    <w:rsid w:val="0070192B"/>
    <w:rsid w:val="00704FD3"/>
    <w:rsid w:val="0071468F"/>
    <w:rsid w:val="00743A99"/>
    <w:rsid w:val="0074426E"/>
    <w:rsid w:val="0074455D"/>
    <w:rsid w:val="00757409"/>
    <w:rsid w:val="00761AFE"/>
    <w:rsid w:val="00764526"/>
    <w:rsid w:val="007731F2"/>
    <w:rsid w:val="00783239"/>
    <w:rsid w:val="00786582"/>
    <w:rsid w:val="00787C66"/>
    <w:rsid w:val="0079379A"/>
    <w:rsid w:val="007A042B"/>
    <w:rsid w:val="007A3F57"/>
    <w:rsid w:val="007A4D0A"/>
    <w:rsid w:val="007B2BE5"/>
    <w:rsid w:val="007C1C36"/>
    <w:rsid w:val="007C6B15"/>
    <w:rsid w:val="007D2BD0"/>
    <w:rsid w:val="007D3E56"/>
    <w:rsid w:val="007F316B"/>
    <w:rsid w:val="007F3D76"/>
    <w:rsid w:val="00801258"/>
    <w:rsid w:val="008148B7"/>
    <w:rsid w:val="00821DF8"/>
    <w:rsid w:val="00822D3F"/>
    <w:rsid w:val="008330CB"/>
    <w:rsid w:val="00834BAB"/>
    <w:rsid w:val="00835C17"/>
    <w:rsid w:val="00837358"/>
    <w:rsid w:val="00840DE2"/>
    <w:rsid w:val="00841DFD"/>
    <w:rsid w:val="00844AA9"/>
    <w:rsid w:val="008511CF"/>
    <w:rsid w:val="0085590E"/>
    <w:rsid w:val="008703DF"/>
    <w:rsid w:val="00872D34"/>
    <w:rsid w:val="00876397"/>
    <w:rsid w:val="00876DDF"/>
    <w:rsid w:val="00876F21"/>
    <w:rsid w:val="00881144"/>
    <w:rsid w:val="0088178E"/>
    <w:rsid w:val="00890171"/>
    <w:rsid w:val="008945B0"/>
    <w:rsid w:val="00894994"/>
    <w:rsid w:val="0089734D"/>
    <w:rsid w:val="008B2E1F"/>
    <w:rsid w:val="008C2306"/>
    <w:rsid w:val="008D1069"/>
    <w:rsid w:val="008D2086"/>
    <w:rsid w:val="008D2FE0"/>
    <w:rsid w:val="008E1B96"/>
    <w:rsid w:val="008E259E"/>
    <w:rsid w:val="008E42EB"/>
    <w:rsid w:val="008E77AA"/>
    <w:rsid w:val="008F3C67"/>
    <w:rsid w:val="00901138"/>
    <w:rsid w:val="009061FC"/>
    <w:rsid w:val="00913C85"/>
    <w:rsid w:val="0091497E"/>
    <w:rsid w:val="009517C5"/>
    <w:rsid w:val="00957404"/>
    <w:rsid w:val="00972EA1"/>
    <w:rsid w:val="00990F82"/>
    <w:rsid w:val="00991AC8"/>
    <w:rsid w:val="009A7A14"/>
    <w:rsid w:val="009B1F89"/>
    <w:rsid w:val="009C29AF"/>
    <w:rsid w:val="009D0FF6"/>
    <w:rsid w:val="009F5EFD"/>
    <w:rsid w:val="00A04ECD"/>
    <w:rsid w:val="00A070AC"/>
    <w:rsid w:val="00A15BF4"/>
    <w:rsid w:val="00A20120"/>
    <w:rsid w:val="00A26E53"/>
    <w:rsid w:val="00A36680"/>
    <w:rsid w:val="00A53EB2"/>
    <w:rsid w:val="00A6186D"/>
    <w:rsid w:val="00A7370D"/>
    <w:rsid w:val="00A76333"/>
    <w:rsid w:val="00A92BB1"/>
    <w:rsid w:val="00A94FD5"/>
    <w:rsid w:val="00AA3A1E"/>
    <w:rsid w:val="00AB46F0"/>
    <w:rsid w:val="00AC1C8A"/>
    <w:rsid w:val="00AC793D"/>
    <w:rsid w:val="00AE61B6"/>
    <w:rsid w:val="00B0188A"/>
    <w:rsid w:val="00B06799"/>
    <w:rsid w:val="00B173FA"/>
    <w:rsid w:val="00B24F26"/>
    <w:rsid w:val="00B35A0B"/>
    <w:rsid w:val="00B41922"/>
    <w:rsid w:val="00B42F2E"/>
    <w:rsid w:val="00B53B2F"/>
    <w:rsid w:val="00B63B90"/>
    <w:rsid w:val="00B67333"/>
    <w:rsid w:val="00B67F82"/>
    <w:rsid w:val="00B775D9"/>
    <w:rsid w:val="00BC49F7"/>
    <w:rsid w:val="00BD1726"/>
    <w:rsid w:val="00BD4A4C"/>
    <w:rsid w:val="00BE14CB"/>
    <w:rsid w:val="00BE6EB8"/>
    <w:rsid w:val="00BE74E2"/>
    <w:rsid w:val="00BF3BCC"/>
    <w:rsid w:val="00BF4F1E"/>
    <w:rsid w:val="00C00CE2"/>
    <w:rsid w:val="00C02C89"/>
    <w:rsid w:val="00C02D0F"/>
    <w:rsid w:val="00C166AF"/>
    <w:rsid w:val="00C21012"/>
    <w:rsid w:val="00C2232A"/>
    <w:rsid w:val="00C355E5"/>
    <w:rsid w:val="00C37DEC"/>
    <w:rsid w:val="00C42378"/>
    <w:rsid w:val="00C4603E"/>
    <w:rsid w:val="00C5266C"/>
    <w:rsid w:val="00C63116"/>
    <w:rsid w:val="00C6768F"/>
    <w:rsid w:val="00C71C61"/>
    <w:rsid w:val="00C741EF"/>
    <w:rsid w:val="00C90762"/>
    <w:rsid w:val="00CA0754"/>
    <w:rsid w:val="00CA1FB3"/>
    <w:rsid w:val="00CA379A"/>
    <w:rsid w:val="00CC45F4"/>
    <w:rsid w:val="00CC6D06"/>
    <w:rsid w:val="00CE0978"/>
    <w:rsid w:val="00CE501A"/>
    <w:rsid w:val="00CE545B"/>
    <w:rsid w:val="00D0187E"/>
    <w:rsid w:val="00D05C3E"/>
    <w:rsid w:val="00D106F5"/>
    <w:rsid w:val="00D11EB5"/>
    <w:rsid w:val="00D150D2"/>
    <w:rsid w:val="00D274C1"/>
    <w:rsid w:val="00D31E74"/>
    <w:rsid w:val="00D33585"/>
    <w:rsid w:val="00D435C4"/>
    <w:rsid w:val="00D66C54"/>
    <w:rsid w:val="00D75336"/>
    <w:rsid w:val="00DA5DB5"/>
    <w:rsid w:val="00DB5B19"/>
    <w:rsid w:val="00DC3DBD"/>
    <w:rsid w:val="00DC5693"/>
    <w:rsid w:val="00DD0D0D"/>
    <w:rsid w:val="00DD2ECA"/>
    <w:rsid w:val="00DF0306"/>
    <w:rsid w:val="00DF2EFB"/>
    <w:rsid w:val="00E051C9"/>
    <w:rsid w:val="00E1011D"/>
    <w:rsid w:val="00E249AA"/>
    <w:rsid w:val="00E270AF"/>
    <w:rsid w:val="00E364A2"/>
    <w:rsid w:val="00E41675"/>
    <w:rsid w:val="00E474FC"/>
    <w:rsid w:val="00E47F72"/>
    <w:rsid w:val="00E533E4"/>
    <w:rsid w:val="00E60C79"/>
    <w:rsid w:val="00E63305"/>
    <w:rsid w:val="00E75548"/>
    <w:rsid w:val="00E75ACD"/>
    <w:rsid w:val="00E769B1"/>
    <w:rsid w:val="00E77264"/>
    <w:rsid w:val="00E774FA"/>
    <w:rsid w:val="00E86EDF"/>
    <w:rsid w:val="00E911CC"/>
    <w:rsid w:val="00EA176A"/>
    <w:rsid w:val="00EA2B60"/>
    <w:rsid w:val="00EA46EE"/>
    <w:rsid w:val="00EA76BA"/>
    <w:rsid w:val="00EB1912"/>
    <w:rsid w:val="00EB2FB1"/>
    <w:rsid w:val="00EB6B68"/>
    <w:rsid w:val="00EC0822"/>
    <w:rsid w:val="00EC308C"/>
    <w:rsid w:val="00EC46D8"/>
    <w:rsid w:val="00EC7420"/>
    <w:rsid w:val="00EC792C"/>
    <w:rsid w:val="00ED3C5D"/>
    <w:rsid w:val="00EE2FC6"/>
    <w:rsid w:val="00EE724A"/>
    <w:rsid w:val="00F000B5"/>
    <w:rsid w:val="00F03DC3"/>
    <w:rsid w:val="00F04FD1"/>
    <w:rsid w:val="00F0623C"/>
    <w:rsid w:val="00F07A92"/>
    <w:rsid w:val="00F10B7E"/>
    <w:rsid w:val="00F32287"/>
    <w:rsid w:val="00F33257"/>
    <w:rsid w:val="00F35F29"/>
    <w:rsid w:val="00F42A28"/>
    <w:rsid w:val="00F50DE0"/>
    <w:rsid w:val="00F54665"/>
    <w:rsid w:val="00F728AB"/>
    <w:rsid w:val="00F8478F"/>
    <w:rsid w:val="00FA3914"/>
    <w:rsid w:val="00FA6C34"/>
    <w:rsid w:val="00FB253F"/>
    <w:rsid w:val="00FB360E"/>
    <w:rsid w:val="00FB5BCA"/>
    <w:rsid w:val="00FB6AC3"/>
    <w:rsid w:val="00FC1C43"/>
    <w:rsid w:val="00FD2076"/>
    <w:rsid w:val="00FD358C"/>
    <w:rsid w:val="00FD4E4E"/>
    <w:rsid w:val="00FD5776"/>
    <w:rsid w:val="00FE2FA9"/>
    <w:rsid w:val="00FE7A50"/>
    <w:rsid w:val="00FF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EAA15F-1F87-4FE6-A65E-E4A0F706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 w:type="paragraph" w:styleId="PlainText">
    <w:name w:val="Plain Text"/>
    <w:basedOn w:val="Normal"/>
    <w:link w:val="PlainTextChar"/>
    <w:uiPriority w:val="99"/>
    <w:unhideWhenUsed/>
    <w:rsid w:val="0095740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rsid w:val="006757D2"/>
    <w:rPr>
      <w:color w:val="800080" w:themeColor="followedHyperlink"/>
      <w:u w:val="single"/>
    </w:rPr>
  </w:style>
  <w:style w:type="table" w:customStyle="1" w:styleId="TableGrid">
    <w:name w:val="TableGrid"/>
    <w:rsid w:val="00142072"/>
    <w:pPr>
      <w:spacing w:after="0" w:line="240" w:lineRule="auto"/>
    </w:pPr>
    <w:rPr>
      <w:rFonts w:cstheme="minorBidi"/>
    </w:rPr>
    <w:tblPr>
      <w:tblCellMar>
        <w:top w:w="0" w:type="dxa"/>
        <w:left w:w="0" w:type="dxa"/>
        <w:bottom w:w="0" w:type="dxa"/>
        <w:right w:w="0" w:type="dxa"/>
      </w:tblCellMar>
    </w:tblPr>
  </w:style>
  <w:style w:type="paragraph" w:styleId="NoSpacing">
    <w:name w:val="No Spacing"/>
    <w:uiPriority w:val="1"/>
    <w:qFormat/>
    <w:rsid w:val="00DF0306"/>
    <w:pPr>
      <w:spacing w:after="0" w:line="240" w:lineRule="auto"/>
    </w:pPr>
    <w:rPr>
      <w:rFonts w:ascii="Times New Roman" w:eastAsia="Calibri" w:hAnsi="Times New Roman" w:cs="Calibri"/>
      <w:color w:val="000000"/>
      <w:sz w:val="20"/>
    </w:rPr>
  </w:style>
  <w:style w:type="table" w:styleId="TableGrid0">
    <w:name w:val="Table Grid"/>
    <w:basedOn w:val="TableNormal"/>
    <w:uiPriority w:val="39"/>
    <w:rsid w:val="00DF0306"/>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9151">
      <w:bodyDiv w:val="1"/>
      <w:marLeft w:val="0"/>
      <w:marRight w:val="0"/>
      <w:marTop w:val="0"/>
      <w:marBottom w:val="0"/>
      <w:divBdr>
        <w:top w:val="none" w:sz="0" w:space="0" w:color="auto"/>
        <w:left w:val="none" w:sz="0" w:space="0" w:color="auto"/>
        <w:bottom w:val="none" w:sz="0" w:space="0" w:color="auto"/>
        <w:right w:val="none" w:sz="0" w:space="0" w:color="auto"/>
      </w:divBdr>
    </w:div>
    <w:div w:id="825632282">
      <w:bodyDiv w:val="1"/>
      <w:marLeft w:val="0"/>
      <w:marRight w:val="0"/>
      <w:marTop w:val="0"/>
      <w:marBottom w:val="0"/>
      <w:divBdr>
        <w:top w:val="none" w:sz="0" w:space="0" w:color="auto"/>
        <w:left w:val="none" w:sz="0" w:space="0" w:color="auto"/>
        <w:bottom w:val="none" w:sz="0" w:space="0" w:color="auto"/>
        <w:right w:val="none" w:sz="0" w:space="0" w:color="auto"/>
      </w:divBdr>
    </w:div>
    <w:div w:id="1072777731">
      <w:bodyDiv w:val="1"/>
      <w:marLeft w:val="0"/>
      <w:marRight w:val="0"/>
      <w:marTop w:val="0"/>
      <w:marBottom w:val="0"/>
      <w:divBdr>
        <w:top w:val="none" w:sz="0" w:space="0" w:color="auto"/>
        <w:left w:val="none" w:sz="0" w:space="0" w:color="auto"/>
        <w:bottom w:val="none" w:sz="0" w:space="0" w:color="auto"/>
        <w:right w:val="none" w:sz="0" w:space="0" w:color="auto"/>
      </w:divBdr>
    </w:div>
    <w:div w:id="1152336064">
      <w:bodyDiv w:val="1"/>
      <w:marLeft w:val="0"/>
      <w:marRight w:val="0"/>
      <w:marTop w:val="0"/>
      <w:marBottom w:val="0"/>
      <w:divBdr>
        <w:top w:val="none" w:sz="0" w:space="0" w:color="auto"/>
        <w:left w:val="none" w:sz="0" w:space="0" w:color="auto"/>
        <w:bottom w:val="none" w:sz="0" w:space="0" w:color="auto"/>
        <w:right w:val="none" w:sz="0" w:space="0" w:color="auto"/>
      </w:divBdr>
    </w:div>
    <w:div w:id="1194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F895-53F6-4EC2-92D1-B5E25B1F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cp:keywords/>
  <dc:description/>
  <cp:lastModifiedBy>RichA</cp:lastModifiedBy>
  <cp:revision>3</cp:revision>
  <cp:lastPrinted>2017-06-17T02:17:00Z</cp:lastPrinted>
  <dcterms:created xsi:type="dcterms:W3CDTF">2017-06-19T01:45:00Z</dcterms:created>
  <dcterms:modified xsi:type="dcterms:W3CDTF">2017-06-21T01:04:00Z</dcterms:modified>
</cp:coreProperties>
</file>