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sidR="004417A7">
        <w:rPr>
          <w:bCs/>
          <w:lang w:val="en"/>
        </w:rPr>
        <w:t>oint</w:t>
      </w:r>
      <w:r w:rsidR="00041373">
        <w:rPr>
          <w:bCs/>
          <w:lang w:val="en"/>
        </w:rPr>
        <w:t>e</w:t>
      </w:r>
      <w:r w:rsidR="003C672A">
        <w:rPr>
          <w:bCs/>
          <w:lang w:val="en"/>
        </w:rPr>
        <w:t xml:space="preserve"> Library – July 15</w:t>
      </w:r>
      <w:r w:rsidR="0036182A">
        <w:rPr>
          <w:bCs/>
          <w:lang w:val="en"/>
        </w:rPr>
        <w:t>, 2017</w:t>
      </w:r>
    </w:p>
    <w:p w:rsidR="00440BE4" w:rsidRPr="000602F2" w:rsidRDefault="00440BE4" w:rsidP="000B566B">
      <w:pPr>
        <w:widowControl w:val="0"/>
        <w:autoSpaceDE w:val="0"/>
        <w:autoSpaceDN w:val="0"/>
        <w:adjustRightInd w:val="0"/>
        <w:spacing w:after="0" w:line="240" w:lineRule="auto"/>
        <w:rPr>
          <w:b/>
          <w:bCs/>
          <w:lang w:val="en"/>
        </w:rPr>
      </w:pPr>
    </w:p>
    <w:p w:rsidR="00FB6AC3"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w:t>
      </w:r>
      <w:r w:rsidRPr="00041373">
        <w:rPr>
          <w:bCs/>
          <w:lang w:val="en"/>
        </w:rPr>
        <w:t xml:space="preserve"> </w:t>
      </w:r>
      <w:r w:rsidR="00041373">
        <w:rPr>
          <w:bCs/>
          <w:lang w:val="en"/>
        </w:rPr>
        <w:t>Presiding Partner</w:t>
      </w:r>
      <w:r w:rsidR="00266818">
        <w:rPr>
          <w:bCs/>
          <w:lang w:val="en"/>
        </w:rPr>
        <w:t xml:space="preserve"> Dene Alden</w:t>
      </w:r>
      <w:r w:rsidRPr="000602F2">
        <w:rPr>
          <w:lang w:val="en"/>
        </w:rPr>
        <w:t xml:space="preserve"> cal</w:t>
      </w:r>
      <w:r w:rsidR="00CA1FB3" w:rsidRPr="000602F2">
        <w:rPr>
          <w:lang w:val="en"/>
        </w:rPr>
        <w:t xml:space="preserve">led the meeting to order at </w:t>
      </w:r>
      <w:r w:rsidR="00B24F26">
        <w:rPr>
          <w:lang w:val="en"/>
        </w:rPr>
        <w:t>9:</w:t>
      </w:r>
      <w:r w:rsidR="00EE0750">
        <w:rPr>
          <w:lang w:val="en"/>
        </w:rPr>
        <w:t>47</w:t>
      </w:r>
      <w:r w:rsidR="000A73A4" w:rsidRPr="000602F2">
        <w:rPr>
          <w:lang w:val="en"/>
        </w:rPr>
        <w:t xml:space="preserve">AM.  </w:t>
      </w:r>
      <w:r w:rsidR="000A73A4" w:rsidRPr="000602F2">
        <w:rPr>
          <w:b/>
          <w:i/>
          <w:lang w:val="en"/>
        </w:rPr>
        <w:t>Guests on webinar</w:t>
      </w:r>
      <w:r w:rsidRPr="000602F2">
        <w:rPr>
          <w:b/>
          <w:i/>
          <w:lang w:val="en"/>
        </w:rPr>
        <w:t>:</w:t>
      </w:r>
      <w:r w:rsidR="006D47B7">
        <w:rPr>
          <w:b/>
          <w:i/>
          <w:lang w:val="en"/>
        </w:rPr>
        <w:t xml:space="preserve"> </w:t>
      </w:r>
      <w:r w:rsidR="00EE0750">
        <w:rPr>
          <w:lang w:val="en"/>
        </w:rPr>
        <w:t>Dan Kuhl</w:t>
      </w:r>
      <w:r w:rsidR="00B24F26">
        <w:rPr>
          <w:lang w:val="en"/>
        </w:rPr>
        <w:t>;</w:t>
      </w:r>
      <w:r w:rsidR="00F33257">
        <w:rPr>
          <w:lang w:val="en"/>
        </w:rPr>
        <w:t xml:space="preserve"> </w:t>
      </w:r>
      <w:r w:rsidR="00F33257" w:rsidRPr="008E42EB">
        <w:rPr>
          <w:b/>
          <w:i/>
          <w:lang w:val="en"/>
        </w:rPr>
        <w:t>G</w:t>
      </w:r>
      <w:r w:rsidRPr="000602F2">
        <w:rPr>
          <w:b/>
          <w:i/>
          <w:lang w:val="en"/>
        </w:rPr>
        <w:t xml:space="preserve">uests </w:t>
      </w:r>
      <w:r w:rsidR="000A73A4" w:rsidRPr="000602F2">
        <w:rPr>
          <w:b/>
          <w:i/>
          <w:lang w:val="en"/>
        </w:rPr>
        <w:t>in person</w:t>
      </w:r>
      <w:r w:rsidRPr="000602F2">
        <w:rPr>
          <w:b/>
          <w:i/>
          <w:lang w:val="en"/>
        </w:rPr>
        <w:t>:</w:t>
      </w:r>
      <w:r w:rsidR="00417B27">
        <w:rPr>
          <w:lang w:val="en"/>
        </w:rPr>
        <w:t xml:space="preserve"> </w:t>
      </w:r>
      <w:r w:rsidR="00F03DC3">
        <w:rPr>
          <w:lang w:val="en"/>
        </w:rPr>
        <w:t>Glenna Baumbaugh</w:t>
      </w:r>
      <w:r w:rsidR="00EE0750">
        <w:rPr>
          <w:lang w:val="en"/>
        </w:rPr>
        <w:t>, Paul Pezzenti</w:t>
      </w:r>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235"/>
        <w:gridCol w:w="990"/>
        <w:gridCol w:w="1080"/>
        <w:gridCol w:w="2880"/>
        <w:gridCol w:w="810"/>
        <w:gridCol w:w="1260"/>
      </w:tblGrid>
      <w:tr w:rsidR="00440BE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757409">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F33257" w:rsidRDefault="00440BE4" w:rsidP="000B566B">
            <w:pPr>
              <w:widowControl w:val="0"/>
              <w:autoSpaceDE w:val="0"/>
              <w:autoSpaceDN w:val="0"/>
              <w:adjustRightInd w:val="0"/>
              <w:spacing w:after="0" w:line="240" w:lineRule="auto"/>
              <w:rPr>
                <w:lang w:val="en"/>
              </w:rPr>
            </w:pPr>
            <w:r w:rsidRPr="00F33257">
              <w:rPr>
                <w:b/>
                <w:bCs/>
                <w:lang w:val="en"/>
              </w:rPr>
              <w:t>Proxy</w:t>
            </w:r>
          </w:p>
        </w:tc>
      </w:tr>
      <w:tr w:rsidR="00D31E74" w:rsidRPr="000602F2" w:rsidTr="009C29AF">
        <w:trPr>
          <w:trHeight w:val="25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Jackie Koski</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B80933" w:rsidP="00D31E74">
            <w:pPr>
              <w:widowControl w:val="0"/>
              <w:autoSpaceDE w:val="0"/>
              <w:autoSpaceDN w:val="0"/>
              <w:adjustRightInd w:val="0"/>
              <w:spacing w:after="0" w:line="240" w:lineRule="auto"/>
              <w:jc w:val="center"/>
              <w:rPr>
                <w:lang w:val="en"/>
              </w:rPr>
            </w:pPr>
            <w:proofErr w:type="gramStart"/>
            <w:r>
              <w:rPr>
                <w:lang w:val="en"/>
              </w:rPr>
              <w:t>web</w:t>
            </w:r>
            <w:proofErr w:type="gramEnd"/>
            <w:r>
              <w:rPr>
                <w:lang w:val="en"/>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BB7358" w:rsidP="00D31E74">
            <w:pPr>
              <w:widowControl w:val="0"/>
              <w:autoSpaceDE w:val="0"/>
              <w:autoSpaceDN w:val="0"/>
              <w:adjustRightInd w:val="0"/>
              <w:spacing w:after="0" w:line="240" w:lineRule="auto"/>
              <w:jc w:val="center"/>
              <w:rPr>
                <w:lang w:val="en"/>
              </w:rPr>
            </w:pPr>
            <w:r>
              <w:rPr>
                <w:lang w:val="en"/>
              </w:rPr>
              <w:t>Mary</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Harrison Baumbaugh</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03DC3" w:rsidP="00D31E74">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jc w:val="center"/>
              <w:rPr>
                <w:lang w:val="en"/>
              </w:rPr>
            </w:pPr>
          </w:p>
        </w:tc>
      </w:tr>
      <w:tr w:rsidR="00D31E74"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Ian Barnes</w:t>
            </w:r>
            <w:r w:rsidR="009C29AF">
              <w:rPr>
                <w:lang w:val="en"/>
              </w:rPr>
              <w:t>, Education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F33257" w:rsidP="00D31E74">
            <w:pPr>
              <w:widowControl w:val="0"/>
              <w:autoSpaceDE w:val="0"/>
              <w:autoSpaceDN w:val="0"/>
              <w:adjustRightInd w:val="0"/>
              <w:spacing w:after="0" w:line="240" w:lineRule="auto"/>
              <w:jc w:val="center"/>
              <w:rPr>
                <w:lang w:val="en"/>
              </w:rPr>
            </w:pPr>
            <w:r w:rsidRPr="00F33257">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B80933">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D31E74">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52501D" w:rsidP="00D31E74">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D31E74" w:rsidRPr="00F33257" w:rsidRDefault="00D31E74" w:rsidP="00487E71">
            <w:pPr>
              <w:widowControl w:val="0"/>
              <w:autoSpaceDE w:val="0"/>
              <w:autoSpaceDN w:val="0"/>
              <w:adjustRightInd w:val="0"/>
              <w:spacing w:after="0" w:line="240" w:lineRule="auto"/>
              <w:jc w:val="center"/>
              <w:rPr>
                <w:lang w:val="en"/>
              </w:rPr>
            </w:pPr>
          </w:p>
        </w:tc>
      </w:tr>
      <w:tr w:rsidR="00EB1912"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Betsy Eller, Financial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F03DC3" w:rsidP="00EB1912">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Gregg Hopkins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E0750" w:rsidP="00EB1912">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E0750" w:rsidP="00EB1912">
            <w:pPr>
              <w:widowControl w:val="0"/>
              <w:autoSpaceDE w:val="0"/>
              <w:autoSpaceDN w:val="0"/>
              <w:adjustRightInd w:val="0"/>
              <w:spacing w:after="0" w:line="240" w:lineRule="auto"/>
              <w:jc w:val="center"/>
              <w:rPr>
                <w:lang w:val="en"/>
              </w:rPr>
            </w:pPr>
            <w:r>
              <w:rPr>
                <w:lang w:val="en"/>
              </w:rPr>
              <w:t>Craig</w:t>
            </w:r>
          </w:p>
        </w:tc>
      </w:tr>
      <w:tr w:rsidR="00EB1912" w:rsidRPr="000602F2" w:rsidTr="009C29AF">
        <w:trPr>
          <w:trHeight w:val="170"/>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Craig Jacobsen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BB7358" w:rsidP="00EB1912">
            <w:pPr>
              <w:widowControl w:val="0"/>
              <w:autoSpaceDE w:val="0"/>
              <w:autoSpaceDN w:val="0"/>
              <w:adjustRightInd w:val="0"/>
              <w:spacing w:after="0" w:line="240" w:lineRule="auto"/>
              <w:jc w:val="center"/>
              <w:rPr>
                <w:lang w:val="en"/>
              </w:rPr>
            </w:pPr>
            <w:r>
              <w:rPr>
                <w:lang w:val="en"/>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BB7358" w:rsidP="00EB1912">
            <w:pPr>
              <w:widowControl w:val="0"/>
              <w:autoSpaceDE w:val="0"/>
              <w:autoSpaceDN w:val="0"/>
              <w:adjustRightInd w:val="0"/>
              <w:spacing w:after="0" w:line="240" w:lineRule="auto"/>
              <w:jc w:val="center"/>
              <w:rPr>
                <w:lang w:val="en"/>
              </w:rPr>
            </w:pPr>
            <w:r>
              <w:rPr>
                <w:lang w:val="en"/>
              </w:rPr>
              <w:t>Rich</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rPr>
                <w:lang w:val="en"/>
              </w:rPr>
            </w:pPr>
            <w:r w:rsidRPr="00F33257">
              <w:rPr>
                <w:lang w:val="en"/>
              </w:rPr>
              <w:t xml:space="preserve">Larry </w:t>
            </w:r>
            <w:proofErr w:type="spellStart"/>
            <w:r w:rsidRPr="00F33257">
              <w:rPr>
                <w:lang w:val="en"/>
              </w:rPr>
              <w:t>Averbeck</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B1912" w:rsidRPr="00F33257" w:rsidRDefault="00EB1912" w:rsidP="00EB1912">
            <w:pPr>
              <w:widowControl w:val="0"/>
              <w:autoSpaceDE w:val="0"/>
              <w:autoSpaceDN w:val="0"/>
              <w:adjustRightInd w:val="0"/>
              <w:spacing w:after="0" w:line="240" w:lineRule="auto"/>
              <w:jc w:val="center"/>
              <w:rPr>
                <w:lang w:val="en"/>
              </w:rPr>
            </w:pPr>
          </w:p>
        </w:tc>
      </w:tr>
      <w:tr w:rsidR="00E474FC"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Marty Eckerle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r>
      <w:tr w:rsidR="00E474FC"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 xml:space="preserve">Gerry </w:t>
            </w:r>
            <w:proofErr w:type="spellStart"/>
            <w:r w:rsidRPr="00F33257">
              <w:rPr>
                <w:lang w:val="en"/>
              </w:rPr>
              <w:t>Geverdt</w:t>
            </w:r>
            <w:proofErr w:type="spellEnd"/>
            <w:r w:rsidRPr="00F33257">
              <w:rPr>
                <w:lang w:val="en"/>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 xml:space="preserve">Michele </w:t>
            </w:r>
            <w:proofErr w:type="spellStart"/>
            <w:r w:rsidRPr="00F33257">
              <w:rPr>
                <w:lang w:val="en"/>
              </w:rPr>
              <w:t>Grinoch</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r>
      <w:tr w:rsidR="00E474FC" w:rsidRPr="000602F2" w:rsidTr="009C29AF">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Dene Alden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F03DC3" w:rsidP="00E474FC">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r>
      <w:tr w:rsidR="00E474FC" w:rsidRPr="000602F2" w:rsidTr="009C29A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Latisha Douglas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E0750" w:rsidP="00E474FC">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B80933" w:rsidP="00E474FC">
            <w:pPr>
              <w:widowControl w:val="0"/>
              <w:autoSpaceDE w:val="0"/>
              <w:autoSpaceDN w:val="0"/>
              <w:adjustRightInd w:val="0"/>
              <w:spacing w:after="0" w:line="240" w:lineRule="auto"/>
              <w:jc w:val="center"/>
              <w:rPr>
                <w:lang w:val="en"/>
              </w:rPr>
            </w:pPr>
            <w:r>
              <w:rPr>
                <w:lang w:val="en"/>
              </w:rPr>
              <w:t>(Marty)</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Pr>
                <w:lang w:val="en"/>
              </w:rPr>
              <w:t>Nelson Page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F03DC3" w:rsidP="00E474FC">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r>
      <w:tr w:rsidR="00E474FC" w:rsidRPr="000602F2" w:rsidTr="009C29AF">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r w:rsidRPr="00F33257">
              <w:rPr>
                <w:lang w:val="en"/>
              </w:rPr>
              <w:t>Richard Alden</w:t>
            </w:r>
            <w:r>
              <w:rPr>
                <w:lang w:val="en"/>
              </w:rPr>
              <w:t>, Recording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E474FC" w:rsidRPr="00F33257" w:rsidRDefault="00E474FC" w:rsidP="00E474FC">
            <w:pPr>
              <w:widowControl w:val="0"/>
              <w:autoSpaceDE w:val="0"/>
              <w:autoSpaceDN w:val="0"/>
              <w:adjustRightInd w:val="0"/>
              <w:spacing w:after="0" w:line="240" w:lineRule="auto"/>
              <w:jc w:val="center"/>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146B28" w:rsidRDefault="00146B28" w:rsidP="000B566B">
      <w:pPr>
        <w:widowControl w:val="0"/>
        <w:autoSpaceDE w:val="0"/>
        <w:autoSpaceDN w:val="0"/>
        <w:adjustRightInd w:val="0"/>
        <w:spacing w:after="0" w:line="240" w:lineRule="auto"/>
        <w:rPr>
          <w:b/>
          <w:bCs/>
          <w:u w:val="single"/>
          <w:lang w:val="en"/>
        </w:rPr>
      </w:pPr>
    </w:p>
    <w:p w:rsidR="00440BE4" w:rsidRPr="008657CA" w:rsidRDefault="00440BE4" w:rsidP="000B566B">
      <w:pPr>
        <w:widowControl w:val="0"/>
        <w:autoSpaceDE w:val="0"/>
        <w:autoSpaceDN w:val="0"/>
        <w:adjustRightInd w:val="0"/>
        <w:spacing w:after="0" w:line="240" w:lineRule="auto"/>
        <w:rPr>
          <w:lang w:val="en"/>
        </w:rPr>
      </w:pPr>
      <w:r w:rsidRPr="008657CA">
        <w:rPr>
          <w:b/>
          <w:bCs/>
          <w:u w:val="single"/>
          <w:lang w:val="en"/>
        </w:rPr>
        <w:t>Recording Partner’s Report</w:t>
      </w:r>
      <w:r w:rsidRPr="008657CA">
        <w:rPr>
          <w:b/>
          <w:bCs/>
          <w:lang w:val="en"/>
        </w:rPr>
        <w:t>:</w:t>
      </w:r>
      <w:r w:rsidRPr="008657CA">
        <w:rPr>
          <w:bCs/>
          <w:lang w:val="en"/>
        </w:rPr>
        <w:t xml:space="preserve"> </w:t>
      </w:r>
      <w:r w:rsidR="005C6CB3" w:rsidRPr="008657CA">
        <w:rPr>
          <w:lang w:val="en"/>
        </w:rPr>
        <w:t>Minutes of the</w:t>
      </w:r>
      <w:r w:rsidRPr="008657CA">
        <w:rPr>
          <w:lang w:val="en"/>
        </w:rPr>
        <w:t xml:space="preserve"> </w:t>
      </w:r>
      <w:r w:rsidR="003C672A" w:rsidRPr="008657CA">
        <w:rPr>
          <w:lang w:val="en"/>
        </w:rPr>
        <w:t xml:space="preserve">June </w:t>
      </w:r>
      <w:r w:rsidR="0016067A" w:rsidRPr="008657CA">
        <w:rPr>
          <w:lang w:val="en"/>
        </w:rPr>
        <w:t>17</w:t>
      </w:r>
      <w:r w:rsidRPr="008657CA">
        <w:rPr>
          <w:lang w:val="en"/>
        </w:rPr>
        <w:t xml:space="preserve"> meeting were approved</w:t>
      </w:r>
      <w:r w:rsidR="00D66C54" w:rsidRPr="008657CA">
        <w:rPr>
          <w:lang w:val="en"/>
        </w:rPr>
        <w:t xml:space="preserve"> and </w:t>
      </w:r>
      <w:r w:rsidR="0052501D" w:rsidRPr="008657CA">
        <w:rPr>
          <w:lang w:val="en"/>
        </w:rPr>
        <w:t xml:space="preserve">have been </w:t>
      </w:r>
      <w:r w:rsidR="00D66C54" w:rsidRPr="008657CA">
        <w:rPr>
          <w:lang w:val="en"/>
        </w:rPr>
        <w:t>posted</w:t>
      </w:r>
      <w:r w:rsidR="00EC0822" w:rsidRPr="008657CA">
        <w:rPr>
          <w:lang w:val="en"/>
        </w:rPr>
        <w:t>.</w:t>
      </w:r>
    </w:p>
    <w:p w:rsidR="0036182A" w:rsidRPr="008657CA" w:rsidRDefault="0036182A" w:rsidP="000B566B">
      <w:pPr>
        <w:widowControl w:val="0"/>
        <w:autoSpaceDE w:val="0"/>
        <w:autoSpaceDN w:val="0"/>
        <w:adjustRightInd w:val="0"/>
        <w:spacing w:after="0" w:line="240" w:lineRule="auto"/>
        <w:rPr>
          <w:lang w:val="en"/>
        </w:rPr>
      </w:pPr>
    </w:p>
    <w:p w:rsidR="00102C0E" w:rsidRPr="008657CA" w:rsidRDefault="00440BE4" w:rsidP="000B566B">
      <w:pPr>
        <w:widowControl w:val="0"/>
        <w:autoSpaceDE w:val="0"/>
        <w:autoSpaceDN w:val="0"/>
        <w:adjustRightInd w:val="0"/>
        <w:spacing w:after="0" w:line="240" w:lineRule="auto"/>
        <w:rPr>
          <w:lang w:val="en"/>
        </w:rPr>
      </w:pPr>
      <w:r w:rsidRPr="008657CA">
        <w:rPr>
          <w:b/>
          <w:bCs/>
          <w:u w:val="single"/>
          <w:lang w:val="en"/>
        </w:rPr>
        <w:t>Financial Partner’s Report</w:t>
      </w:r>
      <w:r w:rsidRPr="008657CA">
        <w:rPr>
          <w:b/>
          <w:bCs/>
          <w:lang w:val="en"/>
        </w:rPr>
        <w:t>:</w:t>
      </w:r>
      <w:r w:rsidR="00102C0E" w:rsidRPr="008657CA">
        <w:rPr>
          <w:lang w:val="en"/>
        </w:rPr>
        <w:t xml:space="preserve"> </w:t>
      </w:r>
    </w:p>
    <w:p w:rsidR="003B0A91" w:rsidRPr="008657CA" w:rsidRDefault="00EE0750" w:rsidP="007F342D">
      <w:pPr>
        <w:pStyle w:val="ListParagraph"/>
        <w:widowControl w:val="0"/>
        <w:numPr>
          <w:ilvl w:val="0"/>
          <w:numId w:val="38"/>
        </w:numPr>
        <w:autoSpaceDE w:val="0"/>
        <w:autoSpaceDN w:val="0"/>
        <w:adjustRightInd w:val="0"/>
        <w:spacing w:after="0" w:line="240" w:lineRule="auto"/>
        <w:rPr>
          <w:rFonts w:cstheme="minorHAnsi"/>
          <w:b/>
          <w:bCs/>
          <w:u w:val="single"/>
          <w:lang w:val="en"/>
        </w:rPr>
      </w:pPr>
      <w:r w:rsidRPr="008657CA">
        <w:rPr>
          <w:lang w:val="en"/>
        </w:rPr>
        <w:t>Current cash: $2,071.49. The July report was filed for audit without changes</w:t>
      </w:r>
    </w:p>
    <w:p w:rsidR="00EE0750" w:rsidRPr="008657CA" w:rsidRDefault="00EE0750" w:rsidP="001866F5">
      <w:pPr>
        <w:widowControl w:val="0"/>
        <w:autoSpaceDE w:val="0"/>
        <w:autoSpaceDN w:val="0"/>
        <w:adjustRightInd w:val="0"/>
        <w:spacing w:after="0" w:line="240" w:lineRule="auto"/>
        <w:rPr>
          <w:rFonts w:cstheme="minorHAnsi"/>
          <w:b/>
          <w:bCs/>
          <w:u w:val="single"/>
          <w:lang w:val="en"/>
        </w:rPr>
      </w:pPr>
    </w:p>
    <w:p w:rsidR="0016067A" w:rsidRPr="008657CA" w:rsidRDefault="00440BE4" w:rsidP="008657CA">
      <w:pPr>
        <w:pStyle w:val="NoSpacing"/>
        <w:rPr>
          <w:rFonts w:cstheme="minorHAnsi"/>
          <w:bCs/>
          <w:i/>
          <w:color w:val="auto"/>
          <w:lang w:val="en"/>
        </w:rPr>
      </w:pPr>
      <w:r w:rsidRPr="008657CA">
        <w:rPr>
          <w:rFonts w:cstheme="minorHAnsi"/>
          <w:b/>
          <w:bCs/>
          <w:color w:val="auto"/>
          <w:u w:val="single"/>
          <w:lang w:val="en"/>
        </w:rPr>
        <w:t>Announcements</w:t>
      </w:r>
      <w:r w:rsidRPr="008657CA">
        <w:rPr>
          <w:rFonts w:cstheme="minorHAnsi"/>
          <w:b/>
          <w:bCs/>
          <w:color w:val="auto"/>
          <w:lang w:val="en"/>
        </w:rPr>
        <w:t>:</w:t>
      </w:r>
      <w:r w:rsidR="003B0A91" w:rsidRPr="008657CA">
        <w:rPr>
          <w:rFonts w:cstheme="minorHAnsi"/>
          <w:bCs/>
          <w:color w:val="auto"/>
          <w:lang w:val="en"/>
        </w:rPr>
        <w:t xml:space="preserve"> </w:t>
      </w:r>
      <w:r w:rsidR="006C71FA" w:rsidRPr="008657CA">
        <w:rPr>
          <w:rFonts w:asciiTheme="minorHAnsi" w:hAnsiTheme="minorHAnsi" w:cstheme="minorHAnsi"/>
          <w:color w:val="auto"/>
          <w:sz w:val="22"/>
        </w:rPr>
        <w:t>Classes and webinars: see BetterInvesting Magazine “ONLINE” section opposite CONTENTS</w:t>
      </w:r>
      <w:r w:rsidR="008657CA" w:rsidRPr="008657CA">
        <w:rPr>
          <w:rFonts w:asciiTheme="minorHAnsi" w:hAnsiTheme="minorHAnsi" w:cstheme="minorHAnsi"/>
          <w:color w:val="auto"/>
          <w:sz w:val="22"/>
        </w:rPr>
        <w:t xml:space="preserve"> o</w:t>
      </w:r>
      <w:r w:rsidR="006C71FA" w:rsidRPr="008657CA">
        <w:rPr>
          <w:rFonts w:cstheme="minorHAnsi"/>
          <w:color w:val="auto"/>
        </w:rPr>
        <w:t>r visit web site under Events</w:t>
      </w:r>
      <w:r w:rsidR="006C71FA" w:rsidRPr="008657CA">
        <w:rPr>
          <w:rFonts w:cstheme="minorHAnsi"/>
          <w:color w:val="auto"/>
          <w:szCs w:val="20"/>
        </w:rPr>
        <w:t>.</w:t>
      </w:r>
      <w:r w:rsidR="008130FC" w:rsidRPr="008657CA">
        <w:rPr>
          <w:rFonts w:cstheme="minorHAnsi"/>
          <w:bCs/>
          <w:i/>
          <w:color w:val="auto"/>
          <w:lang w:val="en"/>
        </w:rPr>
        <w:t xml:space="preserve"> </w:t>
      </w:r>
    </w:p>
    <w:p w:rsidR="006C71FA" w:rsidRPr="008657CA" w:rsidRDefault="006C71FA" w:rsidP="001866F5">
      <w:pPr>
        <w:widowControl w:val="0"/>
        <w:autoSpaceDE w:val="0"/>
        <w:autoSpaceDN w:val="0"/>
        <w:adjustRightInd w:val="0"/>
        <w:spacing w:after="0" w:line="240" w:lineRule="auto"/>
        <w:rPr>
          <w:b/>
          <w:bCs/>
          <w:u w:val="single"/>
          <w:lang w:val="en"/>
        </w:rPr>
      </w:pPr>
    </w:p>
    <w:p w:rsidR="00142072" w:rsidRPr="008657CA" w:rsidRDefault="00440BE4" w:rsidP="001866F5">
      <w:pPr>
        <w:widowControl w:val="0"/>
        <w:autoSpaceDE w:val="0"/>
        <w:autoSpaceDN w:val="0"/>
        <w:adjustRightInd w:val="0"/>
        <w:spacing w:after="0" w:line="240" w:lineRule="auto"/>
        <w:rPr>
          <w:lang w:val="en"/>
        </w:rPr>
      </w:pPr>
      <w:r w:rsidRPr="008657CA">
        <w:rPr>
          <w:b/>
          <w:bCs/>
          <w:u w:val="single"/>
          <w:lang w:val="en"/>
        </w:rPr>
        <w:t>Old Business:</w:t>
      </w:r>
      <w:r w:rsidR="0014761F" w:rsidRPr="008657CA">
        <w:rPr>
          <w:lang w:val="en"/>
        </w:rPr>
        <w:t xml:space="preserve"> </w:t>
      </w:r>
    </w:p>
    <w:p w:rsidR="0016067A" w:rsidRPr="008657CA" w:rsidRDefault="00EE0750" w:rsidP="009112DE">
      <w:pPr>
        <w:pStyle w:val="ListParagraph"/>
        <w:widowControl w:val="0"/>
        <w:numPr>
          <w:ilvl w:val="0"/>
          <w:numId w:val="39"/>
        </w:numPr>
        <w:autoSpaceDE w:val="0"/>
        <w:autoSpaceDN w:val="0"/>
        <w:adjustRightInd w:val="0"/>
        <w:spacing w:after="0" w:line="240" w:lineRule="auto"/>
        <w:rPr>
          <w:bCs/>
          <w:lang w:val="en"/>
        </w:rPr>
      </w:pPr>
      <w:r w:rsidRPr="008657CA">
        <w:rPr>
          <w:bCs/>
          <w:lang w:val="en"/>
        </w:rPr>
        <w:t xml:space="preserve">Craig volunteered to cover Cognizant Technologies (CTSH) and submitted a </w:t>
      </w:r>
      <w:proofErr w:type="spellStart"/>
      <w:r w:rsidRPr="008657CA">
        <w:rPr>
          <w:bCs/>
          <w:lang w:val="en"/>
        </w:rPr>
        <w:t>stockwatcher</w:t>
      </w:r>
      <w:proofErr w:type="spellEnd"/>
      <w:r w:rsidRPr="008657CA">
        <w:rPr>
          <w:bCs/>
          <w:lang w:val="en"/>
        </w:rPr>
        <w:t xml:space="preserve"> review</w:t>
      </w:r>
    </w:p>
    <w:p w:rsidR="007F316B" w:rsidRPr="008657CA" w:rsidRDefault="007F316B" w:rsidP="00EE0750">
      <w:pPr>
        <w:pStyle w:val="ListParagraph"/>
        <w:widowControl w:val="0"/>
        <w:numPr>
          <w:ilvl w:val="0"/>
          <w:numId w:val="39"/>
        </w:numPr>
        <w:autoSpaceDE w:val="0"/>
        <w:autoSpaceDN w:val="0"/>
        <w:adjustRightInd w:val="0"/>
        <w:spacing w:after="0" w:line="240" w:lineRule="auto"/>
        <w:rPr>
          <w:b/>
          <w:bCs/>
          <w:u w:val="single"/>
          <w:lang w:val="en"/>
        </w:rPr>
      </w:pPr>
      <w:r w:rsidRPr="008657CA">
        <w:rPr>
          <w:lang w:val="en"/>
        </w:rPr>
        <w:t>Latish</w:t>
      </w:r>
      <w:r w:rsidR="007A4D0A" w:rsidRPr="008657CA">
        <w:rPr>
          <w:lang w:val="en"/>
        </w:rPr>
        <w:t>a</w:t>
      </w:r>
      <w:r w:rsidR="00EE0750" w:rsidRPr="008657CA">
        <w:rPr>
          <w:lang w:val="en"/>
        </w:rPr>
        <w:t xml:space="preserve"> </w:t>
      </w:r>
      <w:r w:rsidRPr="008657CA">
        <w:rPr>
          <w:lang w:val="en"/>
        </w:rPr>
        <w:t>reported on the 15</w:t>
      </w:r>
      <w:r w:rsidRPr="008657CA">
        <w:rPr>
          <w:vertAlign w:val="superscript"/>
          <w:lang w:val="en"/>
        </w:rPr>
        <w:t>th</w:t>
      </w:r>
      <w:r w:rsidRPr="008657CA">
        <w:rPr>
          <w:lang w:val="en"/>
        </w:rPr>
        <w:t xml:space="preserve"> anniversary CinMIC meeting/luncheon to be held Oct 21, 2017.</w:t>
      </w:r>
      <w:r w:rsidR="00EE0750" w:rsidRPr="008657CA">
        <w:rPr>
          <w:lang w:val="en"/>
        </w:rPr>
        <w:t xml:space="preserve"> </w:t>
      </w:r>
      <w:proofErr w:type="spellStart"/>
      <w:r w:rsidR="00EE0750" w:rsidRPr="008657CA">
        <w:rPr>
          <w:lang w:val="en"/>
        </w:rPr>
        <w:t>Papadeaux</w:t>
      </w:r>
      <w:proofErr w:type="spellEnd"/>
      <w:r w:rsidR="00C359D9" w:rsidRPr="008657CA">
        <w:rPr>
          <w:lang w:val="en"/>
        </w:rPr>
        <w:t xml:space="preserve"> proved</w:t>
      </w:r>
      <w:r w:rsidR="00EE0750" w:rsidRPr="008657CA">
        <w:rPr>
          <w:lang w:val="en"/>
        </w:rPr>
        <w:t xml:space="preserve"> too expensive for the group and Dene volunteered to </w:t>
      </w:r>
      <w:r w:rsidR="008130FC" w:rsidRPr="008657CA">
        <w:rPr>
          <w:lang w:val="en"/>
        </w:rPr>
        <w:t xml:space="preserve">submit information on </w:t>
      </w:r>
      <w:r w:rsidR="00EE0750" w:rsidRPr="008657CA">
        <w:rPr>
          <w:lang w:val="en"/>
        </w:rPr>
        <w:t>Bravo f</w:t>
      </w:r>
      <w:r w:rsidR="008130FC" w:rsidRPr="008657CA">
        <w:rPr>
          <w:lang w:val="en"/>
        </w:rPr>
        <w:t xml:space="preserve">or a more favorable arrangement. She will email </w:t>
      </w:r>
      <w:r w:rsidR="001D3E8F" w:rsidRPr="008657CA">
        <w:rPr>
          <w:lang w:val="en"/>
        </w:rPr>
        <w:t xml:space="preserve">Latisha and </w:t>
      </w:r>
      <w:r w:rsidR="008657CA" w:rsidRPr="008657CA">
        <w:rPr>
          <w:lang w:val="en"/>
        </w:rPr>
        <w:t>the c</w:t>
      </w:r>
      <w:r w:rsidR="008130FC" w:rsidRPr="008657CA">
        <w:rPr>
          <w:lang w:val="en"/>
        </w:rPr>
        <w:t>ommittee.</w:t>
      </w:r>
    </w:p>
    <w:p w:rsidR="00EE0750" w:rsidRPr="008657CA" w:rsidRDefault="00EE0750" w:rsidP="00EE0750">
      <w:pPr>
        <w:widowControl w:val="0"/>
        <w:autoSpaceDE w:val="0"/>
        <w:autoSpaceDN w:val="0"/>
        <w:adjustRightInd w:val="0"/>
        <w:spacing w:after="0" w:line="240" w:lineRule="auto"/>
        <w:ind w:left="360"/>
        <w:rPr>
          <w:b/>
          <w:bCs/>
          <w:u w:val="single"/>
          <w:lang w:val="en"/>
        </w:rPr>
      </w:pPr>
    </w:p>
    <w:p w:rsidR="00C21012" w:rsidRPr="008657CA" w:rsidRDefault="00440BE4" w:rsidP="00216576">
      <w:pPr>
        <w:widowControl w:val="0"/>
        <w:autoSpaceDE w:val="0"/>
        <w:autoSpaceDN w:val="0"/>
        <w:adjustRightInd w:val="0"/>
        <w:spacing w:after="0" w:line="240" w:lineRule="auto"/>
        <w:rPr>
          <w:lang w:val="en"/>
        </w:rPr>
      </w:pPr>
      <w:r w:rsidRPr="008657CA">
        <w:rPr>
          <w:b/>
          <w:bCs/>
          <w:u w:val="single"/>
          <w:lang w:val="en"/>
        </w:rPr>
        <w:t>New Business:</w:t>
      </w:r>
      <w:r w:rsidR="007A4D0A" w:rsidRPr="008657CA">
        <w:rPr>
          <w:lang w:val="en"/>
        </w:rPr>
        <w:t xml:space="preserve"> </w:t>
      </w:r>
    </w:p>
    <w:p w:rsidR="0016067A" w:rsidRPr="008657CA" w:rsidRDefault="00EE0750" w:rsidP="00EE0750">
      <w:pPr>
        <w:pStyle w:val="ListParagraph"/>
        <w:widowControl w:val="0"/>
        <w:numPr>
          <w:ilvl w:val="0"/>
          <w:numId w:val="41"/>
        </w:numPr>
        <w:autoSpaceDE w:val="0"/>
        <w:autoSpaceDN w:val="0"/>
        <w:adjustRightInd w:val="0"/>
        <w:spacing w:after="0" w:line="240" w:lineRule="auto"/>
        <w:rPr>
          <w:lang w:val="en"/>
        </w:rPr>
      </w:pPr>
      <w:r w:rsidRPr="008657CA">
        <w:rPr>
          <w:lang w:val="en"/>
        </w:rPr>
        <w:t>Marty/Gerry proposed removing IPGP from the pounce list as the price was well above the buy zone.</w:t>
      </w:r>
    </w:p>
    <w:p w:rsidR="0016067A" w:rsidRPr="008657CA" w:rsidRDefault="00EE0750" w:rsidP="003B041A">
      <w:pPr>
        <w:pStyle w:val="ListParagraph"/>
        <w:widowControl w:val="0"/>
        <w:numPr>
          <w:ilvl w:val="0"/>
          <w:numId w:val="41"/>
        </w:numPr>
        <w:autoSpaceDE w:val="0"/>
        <w:autoSpaceDN w:val="0"/>
        <w:adjustRightInd w:val="0"/>
        <w:spacing w:after="0" w:line="240" w:lineRule="auto"/>
        <w:rPr>
          <w:b/>
          <w:bCs/>
          <w:u w:val="single"/>
          <w:lang w:val="en"/>
        </w:rPr>
      </w:pPr>
      <w:r w:rsidRPr="008657CA">
        <w:rPr>
          <w:lang w:val="en"/>
        </w:rPr>
        <w:t>After some discuss</w:t>
      </w:r>
      <w:r w:rsidR="00B80933">
        <w:rPr>
          <w:lang w:val="en"/>
        </w:rPr>
        <w:t>ion it was suggested</w:t>
      </w:r>
      <w:r w:rsidRPr="008657CA">
        <w:rPr>
          <w:lang w:val="en"/>
        </w:rPr>
        <w:t xml:space="preserve"> that the pounce list stock</w:t>
      </w:r>
      <w:r w:rsidR="008130FC" w:rsidRPr="008657CA">
        <w:rPr>
          <w:lang w:val="en"/>
        </w:rPr>
        <w:t xml:space="preserve"> presenter</w:t>
      </w:r>
      <w:r w:rsidRPr="008657CA">
        <w:rPr>
          <w:lang w:val="en"/>
        </w:rPr>
        <w:t xml:space="preserve"> watcher would monitor their stock (SSG price update, </w:t>
      </w:r>
      <w:r w:rsidR="00C45BE0" w:rsidRPr="008657CA">
        <w:rPr>
          <w:lang w:val="en"/>
        </w:rPr>
        <w:t xml:space="preserve">MI Sweet Spot, </w:t>
      </w:r>
      <w:r w:rsidRPr="008657CA">
        <w:rPr>
          <w:lang w:val="en"/>
        </w:rPr>
        <w:t>news items) and report to the group by the Mon before the meeting as members do with their club holdings</w:t>
      </w:r>
      <w:r w:rsidR="00C45BE0" w:rsidRPr="008657CA">
        <w:rPr>
          <w:lang w:val="en"/>
        </w:rPr>
        <w:t xml:space="preserve">. </w:t>
      </w:r>
      <w:r w:rsidR="00B80933">
        <w:rPr>
          <w:lang w:val="en"/>
        </w:rPr>
        <w:t>Further discussion should be held to differentiate between a watch list (stocks which may have potential but have unresolved issues) and a pounce list (stocks which meet our criteria but are not in a favorable price and U/D range).</w:t>
      </w:r>
    </w:p>
    <w:p w:rsidR="00C21012" w:rsidRPr="008657CA" w:rsidRDefault="00C21012" w:rsidP="004412F0">
      <w:pPr>
        <w:widowControl w:val="0"/>
        <w:tabs>
          <w:tab w:val="left" w:pos="994"/>
        </w:tabs>
        <w:autoSpaceDE w:val="0"/>
        <w:autoSpaceDN w:val="0"/>
        <w:adjustRightInd w:val="0"/>
        <w:spacing w:after="0" w:line="240" w:lineRule="auto"/>
        <w:rPr>
          <w:b/>
          <w:bCs/>
          <w:u w:val="single"/>
          <w:lang w:val="en"/>
        </w:rPr>
      </w:pPr>
    </w:p>
    <w:p w:rsidR="0016067A" w:rsidRPr="008657CA" w:rsidRDefault="004412F0" w:rsidP="00270564">
      <w:pPr>
        <w:widowControl w:val="0"/>
        <w:tabs>
          <w:tab w:val="left" w:pos="994"/>
        </w:tabs>
        <w:autoSpaceDE w:val="0"/>
        <w:autoSpaceDN w:val="0"/>
        <w:adjustRightInd w:val="0"/>
        <w:spacing w:after="0" w:line="240" w:lineRule="auto"/>
        <w:rPr>
          <w:bCs/>
          <w:lang w:val="en"/>
        </w:rPr>
      </w:pPr>
      <w:r w:rsidRPr="008657CA">
        <w:rPr>
          <w:b/>
          <w:bCs/>
          <w:u w:val="single"/>
          <w:lang w:val="en"/>
        </w:rPr>
        <w:t>Education</w:t>
      </w:r>
      <w:r w:rsidR="00270564" w:rsidRPr="008657CA">
        <w:rPr>
          <w:b/>
          <w:bCs/>
          <w:u w:val="single"/>
          <w:lang w:val="en"/>
        </w:rPr>
        <w:t>:</w:t>
      </w:r>
      <w:r w:rsidR="00270564" w:rsidRPr="008657CA">
        <w:rPr>
          <w:bCs/>
          <w:lang w:val="en"/>
        </w:rPr>
        <w:t xml:space="preserve"> Larry presented an overview of dividends</w:t>
      </w:r>
    </w:p>
    <w:p w:rsidR="00270564" w:rsidRPr="008657CA" w:rsidRDefault="00270564" w:rsidP="00270564">
      <w:pPr>
        <w:pStyle w:val="ListParagraph"/>
        <w:widowControl w:val="0"/>
        <w:numPr>
          <w:ilvl w:val="0"/>
          <w:numId w:val="43"/>
        </w:numPr>
        <w:tabs>
          <w:tab w:val="left" w:pos="994"/>
        </w:tabs>
        <w:autoSpaceDE w:val="0"/>
        <w:autoSpaceDN w:val="0"/>
        <w:adjustRightInd w:val="0"/>
        <w:spacing w:after="0" w:line="240" w:lineRule="auto"/>
        <w:rPr>
          <w:bCs/>
          <w:lang w:val="en"/>
        </w:rPr>
      </w:pPr>
      <w:r w:rsidRPr="008657CA">
        <w:rPr>
          <w:bCs/>
          <w:lang w:val="en"/>
        </w:rPr>
        <w:t>Dividends provide insight into a management’s view of the business</w:t>
      </w:r>
    </w:p>
    <w:p w:rsidR="00270564" w:rsidRPr="008657CA" w:rsidRDefault="00270564" w:rsidP="00270564">
      <w:pPr>
        <w:pStyle w:val="ListParagraph"/>
        <w:widowControl w:val="0"/>
        <w:numPr>
          <w:ilvl w:val="0"/>
          <w:numId w:val="43"/>
        </w:numPr>
        <w:tabs>
          <w:tab w:val="left" w:pos="994"/>
        </w:tabs>
        <w:autoSpaceDE w:val="0"/>
        <w:autoSpaceDN w:val="0"/>
        <w:adjustRightInd w:val="0"/>
        <w:spacing w:after="0" w:line="240" w:lineRule="auto"/>
        <w:rPr>
          <w:bCs/>
          <w:lang w:val="en"/>
        </w:rPr>
      </w:pPr>
      <w:r w:rsidRPr="008657CA">
        <w:rPr>
          <w:bCs/>
          <w:lang w:val="en"/>
        </w:rPr>
        <w:t xml:space="preserve">Retained earnings provide cash for growth but good companies can invest in growth </w:t>
      </w:r>
      <w:r w:rsidRPr="008657CA">
        <w:rPr>
          <w:bCs/>
          <w:u w:val="single"/>
          <w:lang w:val="en"/>
        </w:rPr>
        <w:t>and</w:t>
      </w:r>
      <w:r w:rsidRPr="008657CA">
        <w:rPr>
          <w:bCs/>
          <w:lang w:val="en"/>
        </w:rPr>
        <w:t xml:space="preserve"> provide dividends</w:t>
      </w:r>
    </w:p>
    <w:p w:rsidR="00270564" w:rsidRPr="008657CA" w:rsidRDefault="00270564" w:rsidP="00270564">
      <w:pPr>
        <w:pStyle w:val="ListParagraph"/>
        <w:widowControl w:val="0"/>
        <w:numPr>
          <w:ilvl w:val="0"/>
          <w:numId w:val="43"/>
        </w:numPr>
        <w:tabs>
          <w:tab w:val="left" w:pos="994"/>
        </w:tabs>
        <w:autoSpaceDE w:val="0"/>
        <w:autoSpaceDN w:val="0"/>
        <w:adjustRightInd w:val="0"/>
        <w:spacing w:after="0" w:line="240" w:lineRule="auto"/>
        <w:rPr>
          <w:bCs/>
          <w:lang w:val="en"/>
        </w:rPr>
      </w:pPr>
      <w:r w:rsidRPr="008657CA">
        <w:rPr>
          <w:bCs/>
          <w:lang w:val="en"/>
        </w:rPr>
        <w:t>Even small increases in dividends are indicative of good company health</w:t>
      </w:r>
    </w:p>
    <w:p w:rsidR="00270564" w:rsidRPr="008657CA" w:rsidRDefault="00270564" w:rsidP="00270564">
      <w:pPr>
        <w:pStyle w:val="ListParagraph"/>
        <w:widowControl w:val="0"/>
        <w:numPr>
          <w:ilvl w:val="0"/>
          <w:numId w:val="43"/>
        </w:numPr>
        <w:tabs>
          <w:tab w:val="left" w:pos="994"/>
        </w:tabs>
        <w:autoSpaceDE w:val="0"/>
        <w:autoSpaceDN w:val="0"/>
        <w:adjustRightInd w:val="0"/>
        <w:spacing w:after="0" w:line="240" w:lineRule="auto"/>
        <w:rPr>
          <w:bCs/>
          <w:lang w:val="en"/>
        </w:rPr>
      </w:pPr>
      <w:r w:rsidRPr="008657CA">
        <w:rPr>
          <w:bCs/>
          <w:lang w:val="en"/>
        </w:rPr>
        <w:t>Value Line has dividend information at the top of the report although yield is a function of current stock price</w:t>
      </w:r>
    </w:p>
    <w:p w:rsidR="00270564" w:rsidRPr="008657CA" w:rsidRDefault="008657CA" w:rsidP="00B341D0">
      <w:pPr>
        <w:pStyle w:val="ListParagraph"/>
        <w:widowControl w:val="0"/>
        <w:numPr>
          <w:ilvl w:val="0"/>
          <w:numId w:val="43"/>
        </w:numPr>
        <w:tabs>
          <w:tab w:val="left" w:pos="994"/>
        </w:tabs>
        <w:autoSpaceDE w:val="0"/>
        <w:autoSpaceDN w:val="0"/>
        <w:adjustRightInd w:val="0"/>
        <w:spacing w:after="0" w:line="240" w:lineRule="auto"/>
        <w:rPr>
          <w:bCs/>
          <w:lang w:val="en"/>
        </w:rPr>
      </w:pPr>
      <w:proofErr w:type="spellStart"/>
      <w:r w:rsidRPr="008657CA">
        <w:rPr>
          <w:bCs/>
          <w:lang w:val="en"/>
        </w:rPr>
        <w:t>CinMIC</w:t>
      </w:r>
      <w:proofErr w:type="spellEnd"/>
      <w:r w:rsidRPr="008657CA">
        <w:rPr>
          <w:bCs/>
          <w:lang w:val="en"/>
        </w:rPr>
        <w:t xml:space="preserve"> stock dividends are reinvested through other purchases and are not reinvested in the same stock. We ne</w:t>
      </w:r>
      <w:r>
        <w:rPr>
          <w:bCs/>
          <w:lang w:val="en"/>
        </w:rPr>
        <w:t>e</w:t>
      </w:r>
      <w:r w:rsidRPr="008657CA">
        <w:rPr>
          <w:bCs/>
          <w:lang w:val="en"/>
        </w:rPr>
        <w:t>d to</w:t>
      </w:r>
      <w:r w:rsidR="00270564" w:rsidRPr="008657CA">
        <w:rPr>
          <w:bCs/>
          <w:lang w:val="en"/>
        </w:rPr>
        <w:t xml:space="preserve"> review no</w:t>
      </w:r>
      <w:r w:rsidRPr="008657CA">
        <w:rPr>
          <w:bCs/>
          <w:lang w:val="en"/>
        </w:rPr>
        <w:t>t just stock price growth but total</w:t>
      </w:r>
      <w:r w:rsidR="00270564" w:rsidRPr="008657CA">
        <w:rPr>
          <w:bCs/>
          <w:lang w:val="en"/>
        </w:rPr>
        <w:t xml:space="preserve"> return on the investment. </w:t>
      </w:r>
    </w:p>
    <w:p w:rsidR="0016067A" w:rsidRPr="008657CA" w:rsidRDefault="00270564" w:rsidP="00F94BB2">
      <w:pPr>
        <w:pStyle w:val="ListParagraph"/>
        <w:widowControl w:val="0"/>
        <w:numPr>
          <w:ilvl w:val="0"/>
          <w:numId w:val="43"/>
        </w:numPr>
        <w:tabs>
          <w:tab w:val="left" w:pos="994"/>
        </w:tabs>
        <w:autoSpaceDE w:val="0"/>
        <w:autoSpaceDN w:val="0"/>
        <w:adjustRightInd w:val="0"/>
        <w:spacing w:after="0" w:line="240" w:lineRule="auto"/>
        <w:rPr>
          <w:bCs/>
          <w:lang w:val="en"/>
        </w:rPr>
      </w:pPr>
      <w:r w:rsidRPr="008657CA">
        <w:rPr>
          <w:bCs/>
          <w:lang w:val="en"/>
        </w:rPr>
        <w:t>The May, 2017 issue of the BI magazine has an article on dividends</w:t>
      </w:r>
    </w:p>
    <w:p w:rsidR="00C21012" w:rsidRPr="008657CA" w:rsidRDefault="00C21012" w:rsidP="004412F0">
      <w:pPr>
        <w:widowControl w:val="0"/>
        <w:tabs>
          <w:tab w:val="left" w:pos="994"/>
        </w:tabs>
        <w:autoSpaceDE w:val="0"/>
        <w:autoSpaceDN w:val="0"/>
        <w:adjustRightInd w:val="0"/>
        <w:spacing w:after="0" w:line="240" w:lineRule="auto"/>
        <w:rPr>
          <w:bCs/>
          <w:lang w:val="en"/>
        </w:rPr>
      </w:pPr>
    </w:p>
    <w:p w:rsidR="00270564" w:rsidRPr="008657CA" w:rsidRDefault="00DF0306" w:rsidP="00270564">
      <w:pPr>
        <w:widowControl w:val="0"/>
        <w:tabs>
          <w:tab w:val="left" w:pos="994"/>
        </w:tabs>
        <w:autoSpaceDE w:val="0"/>
        <w:autoSpaceDN w:val="0"/>
        <w:adjustRightInd w:val="0"/>
        <w:spacing w:after="0" w:line="240" w:lineRule="auto"/>
        <w:rPr>
          <w:bCs/>
          <w:lang w:val="en"/>
        </w:rPr>
      </w:pPr>
      <w:r w:rsidRPr="008657CA">
        <w:rPr>
          <w:b/>
          <w:bCs/>
          <w:u w:val="single"/>
          <w:lang w:val="en"/>
        </w:rPr>
        <w:t>New Stock Presentation</w:t>
      </w:r>
      <w:r w:rsidRPr="008657CA">
        <w:rPr>
          <w:b/>
          <w:bCs/>
          <w:lang w:val="en"/>
        </w:rPr>
        <w:t>:</w:t>
      </w:r>
      <w:r w:rsidR="00270564" w:rsidRPr="008657CA">
        <w:rPr>
          <w:bCs/>
          <w:lang w:val="en"/>
        </w:rPr>
        <w:t xml:space="preserve"> Harrison presented Home Depot (HD)</w:t>
      </w:r>
    </w:p>
    <w:p w:rsidR="00270564" w:rsidRPr="008657CA" w:rsidRDefault="008657CA" w:rsidP="00270564">
      <w:pPr>
        <w:pStyle w:val="ListParagraph"/>
        <w:widowControl w:val="0"/>
        <w:numPr>
          <w:ilvl w:val="0"/>
          <w:numId w:val="42"/>
        </w:numPr>
        <w:tabs>
          <w:tab w:val="left" w:pos="994"/>
        </w:tabs>
        <w:autoSpaceDE w:val="0"/>
        <w:autoSpaceDN w:val="0"/>
        <w:adjustRightInd w:val="0"/>
        <w:spacing w:after="0" w:line="240" w:lineRule="auto"/>
        <w:rPr>
          <w:bCs/>
          <w:lang w:val="en"/>
        </w:rPr>
      </w:pPr>
      <w:r w:rsidRPr="008657CA">
        <w:rPr>
          <w:bCs/>
          <w:lang w:val="en"/>
        </w:rPr>
        <w:lastRenderedPageBreak/>
        <w:t>Presenter c</w:t>
      </w:r>
      <w:r w:rsidR="00270564" w:rsidRPr="008657CA">
        <w:rPr>
          <w:bCs/>
          <w:lang w:val="en"/>
        </w:rPr>
        <w:t>lassified</w:t>
      </w:r>
      <w:r w:rsidRPr="008657CA">
        <w:rPr>
          <w:bCs/>
          <w:lang w:val="en"/>
        </w:rPr>
        <w:t xml:space="preserve"> HD</w:t>
      </w:r>
      <w:r w:rsidR="00270564" w:rsidRPr="008657CA">
        <w:rPr>
          <w:bCs/>
          <w:lang w:val="en"/>
        </w:rPr>
        <w:t xml:space="preserve"> </w:t>
      </w:r>
      <w:r w:rsidR="00C359D9" w:rsidRPr="008657CA">
        <w:rPr>
          <w:bCs/>
          <w:lang w:val="en"/>
        </w:rPr>
        <w:t>as Consume</w:t>
      </w:r>
      <w:r w:rsidR="008130FC" w:rsidRPr="008657CA">
        <w:rPr>
          <w:bCs/>
          <w:lang w:val="en"/>
        </w:rPr>
        <w:t>r</w:t>
      </w:r>
      <w:r w:rsidR="00C359D9" w:rsidRPr="008657CA">
        <w:rPr>
          <w:bCs/>
          <w:lang w:val="en"/>
        </w:rPr>
        <w:t xml:space="preserve"> C</w:t>
      </w:r>
      <w:r w:rsidR="00270564" w:rsidRPr="008657CA">
        <w:rPr>
          <w:bCs/>
          <w:lang w:val="en"/>
        </w:rPr>
        <w:t xml:space="preserve">yclical </w:t>
      </w:r>
      <w:r w:rsidR="00B109A6" w:rsidRPr="008657CA">
        <w:rPr>
          <w:bCs/>
          <w:lang w:val="en"/>
        </w:rPr>
        <w:t xml:space="preserve">Sector </w:t>
      </w:r>
      <w:r w:rsidRPr="008657CA">
        <w:rPr>
          <w:bCs/>
          <w:lang w:val="en"/>
        </w:rPr>
        <w:t>/ Home Improvement</w:t>
      </w:r>
      <w:r w:rsidR="00B109A6" w:rsidRPr="008657CA">
        <w:rPr>
          <w:bCs/>
          <w:lang w:val="en"/>
        </w:rPr>
        <w:t xml:space="preserve"> </w:t>
      </w:r>
      <w:r w:rsidR="00270564" w:rsidRPr="008657CA">
        <w:rPr>
          <w:bCs/>
          <w:lang w:val="en"/>
        </w:rPr>
        <w:t>Stores</w:t>
      </w:r>
      <w:r w:rsidRPr="008657CA">
        <w:rPr>
          <w:bCs/>
          <w:lang w:val="en"/>
        </w:rPr>
        <w:t xml:space="preserve"> Industry</w:t>
      </w:r>
    </w:p>
    <w:p w:rsidR="00270564" w:rsidRPr="008657CA" w:rsidRDefault="00270564" w:rsidP="00270564">
      <w:pPr>
        <w:pStyle w:val="ListParagraph"/>
        <w:widowControl w:val="0"/>
        <w:numPr>
          <w:ilvl w:val="0"/>
          <w:numId w:val="42"/>
        </w:numPr>
        <w:tabs>
          <w:tab w:val="left" w:pos="994"/>
        </w:tabs>
        <w:autoSpaceDE w:val="0"/>
        <w:autoSpaceDN w:val="0"/>
        <w:adjustRightInd w:val="0"/>
        <w:spacing w:after="0" w:line="240" w:lineRule="auto"/>
        <w:rPr>
          <w:bCs/>
          <w:lang w:val="en"/>
        </w:rPr>
      </w:pPr>
      <w:r w:rsidRPr="008657CA">
        <w:rPr>
          <w:bCs/>
          <w:lang w:val="en"/>
        </w:rPr>
        <w:t>Founded in 1978, HQ in Atlanta, 2278 stores in North America</w:t>
      </w:r>
    </w:p>
    <w:p w:rsidR="00270564" w:rsidRDefault="00270564" w:rsidP="00270564">
      <w:pPr>
        <w:pStyle w:val="ListParagraph"/>
        <w:widowControl w:val="0"/>
        <w:numPr>
          <w:ilvl w:val="0"/>
          <w:numId w:val="42"/>
        </w:numPr>
        <w:tabs>
          <w:tab w:val="left" w:pos="994"/>
        </w:tabs>
        <w:autoSpaceDE w:val="0"/>
        <w:autoSpaceDN w:val="0"/>
        <w:adjustRightInd w:val="0"/>
        <w:spacing w:after="0" w:line="240" w:lineRule="auto"/>
        <w:rPr>
          <w:bCs/>
          <w:lang w:val="en"/>
        </w:rPr>
      </w:pPr>
      <w:r>
        <w:rPr>
          <w:bCs/>
          <w:lang w:val="en"/>
        </w:rPr>
        <w:t>Strengths growing in their online presence and optimizing supply chain</w:t>
      </w:r>
    </w:p>
    <w:p w:rsidR="00270564" w:rsidRDefault="00270564" w:rsidP="00270564">
      <w:pPr>
        <w:pStyle w:val="ListParagraph"/>
        <w:widowControl w:val="0"/>
        <w:numPr>
          <w:ilvl w:val="0"/>
          <w:numId w:val="42"/>
        </w:numPr>
        <w:tabs>
          <w:tab w:val="left" w:pos="994"/>
        </w:tabs>
        <w:autoSpaceDE w:val="0"/>
        <w:autoSpaceDN w:val="0"/>
        <w:adjustRightInd w:val="0"/>
        <w:spacing w:after="0" w:line="240" w:lineRule="auto"/>
        <w:rPr>
          <w:bCs/>
          <w:lang w:val="en"/>
        </w:rPr>
      </w:pPr>
      <w:r>
        <w:rPr>
          <w:bCs/>
          <w:lang w:val="en"/>
        </w:rPr>
        <w:t>Product offering, market presence, financials and growth rate very similar to Lowe’s but annual sales are ~1.5x that of Lowe’s</w:t>
      </w:r>
    </w:p>
    <w:p w:rsidR="00270564" w:rsidRDefault="00270564" w:rsidP="00270564">
      <w:pPr>
        <w:pStyle w:val="ListParagraph"/>
        <w:widowControl w:val="0"/>
        <w:numPr>
          <w:ilvl w:val="0"/>
          <w:numId w:val="42"/>
        </w:numPr>
        <w:tabs>
          <w:tab w:val="left" w:pos="994"/>
        </w:tabs>
        <w:autoSpaceDE w:val="0"/>
        <w:autoSpaceDN w:val="0"/>
        <w:adjustRightInd w:val="0"/>
        <w:spacing w:after="0" w:line="240" w:lineRule="auto"/>
        <w:rPr>
          <w:bCs/>
          <w:lang w:val="en"/>
        </w:rPr>
      </w:pPr>
      <w:r>
        <w:rPr>
          <w:bCs/>
          <w:lang w:val="en"/>
        </w:rPr>
        <w:t>Sentiment among club members varied between Home Depot and Lowe’</w:t>
      </w:r>
      <w:r w:rsidR="00391F23">
        <w:rPr>
          <w:bCs/>
          <w:lang w:val="en"/>
        </w:rPr>
        <w:t>s with differ</w:t>
      </w:r>
      <w:r>
        <w:rPr>
          <w:bCs/>
          <w:lang w:val="en"/>
        </w:rPr>
        <w:t>ing experiences in product offerings, stock availability</w:t>
      </w:r>
      <w:r w:rsidR="00391F23">
        <w:rPr>
          <w:bCs/>
          <w:lang w:val="en"/>
        </w:rPr>
        <w:t>,</w:t>
      </w:r>
      <w:r>
        <w:rPr>
          <w:bCs/>
          <w:lang w:val="en"/>
        </w:rPr>
        <w:t xml:space="preserve"> and presence of customer service personnel. No clear winner.</w:t>
      </w:r>
    </w:p>
    <w:p w:rsidR="00270564" w:rsidRDefault="00270564" w:rsidP="00270564">
      <w:pPr>
        <w:pStyle w:val="ListParagraph"/>
        <w:widowControl w:val="0"/>
        <w:numPr>
          <w:ilvl w:val="0"/>
          <w:numId w:val="42"/>
        </w:numPr>
        <w:tabs>
          <w:tab w:val="left" w:pos="994"/>
        </w:tabs>
        <w:autoSpaceDE w:val="0"/>
        <w:autoSpaceDN w:val="0"/>
        <w:adjustRightInd w:val="0"/>
        <w:spacing w:after="0" w:line="240" w:lineRule="auto"/>
        <w:rPr>
          <w:bCs/>
          <w:lang w:val="en"/>
        </w:rPr>
      </w:pPr>
      <w:r>
        <w:rPr>
          <w:bCs/>
          <w:lang w:val="en"/>
        </w:rPr>
        <w:t>Home improvement market projected to grow 6.01% in the 2017-2021 period</w:t>
      </w:r>
    </w:p>
    <w:p w:rsidR="00270564" w:rsidRDefault="00270564" w:rsidP="00270564">
      <w:pPr>
        <w:pStyle w:val="ListParagraph"/>
        <w:widowControl w:val="0"/>
        <w:numPr>
          <w:ilvl w:val="0"/>
          <w:numId w:val="42"/>
        </w:numPr>
        <w:tabs>
          <w:tab w:val="left" w:pos="994"/>
        </w:tabs>
        <w:autoSpaceDE w:val="0"/>
        <w:autoSpaceDN w:val="0"/>
        <w:adjustRightInd w:val="0"/>
        <w:spacing w:after="0" w:line="240" w:lineRule="auto"/>
        <w:rPr>
          <w:bCs/>
          <w:lang w:val="en"/>
        </w:rPr>
      </w:pPr>
      <w:r>
        <w:rPr>
          <w:bCs/>
          <w:lang w:val="en"/>
        </w:rPr>
        <w:t>HD projected to have strong revenue and EPS growth, ROE, and return on invested capital. It has a wide moat, increasing margins, and a growing average ticket (customer sale) value, some of which may be the effect of inflation.</w:t>
      </w:r>
    </w:p>
    <w:p w:rsidR="00270564" w:rsidRDefault="00270564" w:rsidP="00270564">
      <w:pPr>
        <w:pStyle w:val="ListParagraph"/>
        <w:widowControl w:val="0"/>
        <w:numPr>
          <w:ilvl w:val="0"/>
          <w:numId w:val="42"/>
        </w:numPr>
        <w:tabs>
          <w:tab w:val="left" w:pos="994"/>
        </w:tabs>
        <w:autoSpaceDE w:val="0"/>
        <w:autoSpaceDN w:val="0"/>
        <w:adjustRightInd w:val="0"/>
        <w:spacing w:after="0" w:line="240" w:lineRule="auto"/>
        <w:rPr>
          <w:bCs/>
          <w:lang w:val="en"/>
        </w:rPr>
      </w:pPr>
      <w:r>
        <w:rPr>
          <w:bCs/>
          <w:lang w:val="en"/>
        </w:rPr>
        <w:t>2016 sales were $94.6B and Y/Y revenue growth over the past five years has averaged 6.8%</w:t>
      </w:r>
    </w:p>
    <w:p w:rsidR="00270564" w:rsidRDefault="00270564" w:rsidP="00270564">
      <w:pPr>
        <w:pStyle w:val="ListParagraph"/>
        <w:widowControl w:val="0"/>
        <w:numPr>
          <w:ilvl w:val="0"/>
          <w:numId w:val="42"/>
        </w:numPr>
        <w:tabs>
          <w:tab w:val="left" w:pos="994"/>
        </w:tabs>
        <w:autoSpaceDE w:val="0"/>
        <w:autoSpaceDN w:val="0"/>
        <w:adjustRightInd w:val="0"/>
        <w:spacing w:after="0" w:line="240" w:lineRule="auto"/>
        <w:rPr>
          <w:bCs/>
          <w:lang w:val="en"/>
        </w:rPr>
      </w:pPr>
      <w:r>
        <w:rPr>
          <w:bCs/>
          <w:lang w:val="en"/>
        </w:rPr>
        <w:t>The SSG showed very high debt levels (store real estate, inventory?) and a</w:t>
      </w:r>
      <w:r w:rsidR="00391F23">
        <w:rPr>
          <w:bCs/>
          <w:lang w:val="en"/>
        </w:rPr>
        <w:t xml:space="preserve"> declining book value. O</w:t>
      </w:r>
      <w:r>
        <w:rPr>
          <w:bCs/>
          <w:lang w:val="en"/>
        </w:rPr>
        <w:t>ther indicators pointed to a steadily growing company with increasing free cash flow and dividends. Much of the debt is in the form of long-term non-callable 4% bonds payable in 2035. Repayment capacity is considered healthy.</w:t>
      </w:r>
    </w:p>
    <w:p w:rsidR="00885EF6" w:rsidRPr="00885EF6" w:rsidRDefault="00270564" w:rsidP="00885EF6">
      <w:pPr>
        <w:pStyle w:val="ListParagraph"/>
        <w:widowControl w:val="0"/>
        <w:numPr>
          <w:ilvl w:val="0"/>
          <w:numId w:val="42"/>
        </w:numPr>
        <w:tabs>
          <w:tab w:val="left" w:pos="994"/>
        </w:tabs>
        <w:autoSpaceDE w:val="0"/>
        <w:autoSpaceDN w:val="0"/>
        <w:adjustRightInd w:val="0"/>
        <w:spacing w:after="0" w:line="240" w:lineRule="auto"/>
        <w:rPr>
          <w:bCs/>
          <w:lang w:val="en"/>
        </w:rPr>
      </w:pPr>
      <w:proofErr w:type="spellStart"/>
      <w:r>
        <w:rPr>
          <w:bCs/>
          <w:lang w:val="en"/>
        </w:rPr>
        <w:t>SeekingAlpha</w:t>
      </w:r>
      <w:proofErr w:type="spellEnd"/>
      <w:r>
        <w:rPr>
          <w:bCs/>
          <w:lang w:val="en"/>
        </w:rPr>
        <w:t xml:space="preserve"> has a recent report comparing Lowe’s and Home Depot and considers HD undervalued by 17% and a buy.</w:t>
      </w:r>
    </w:p>
    <w:p w:rsidR="00270564" w:rsidRDefault="00270564" w:rsidP="00270564">
      <w:pPr>
        <w:pStyle w:val="ListParagraph"/>
        <w:widowControl w:val="0"/>
        <w:numPr>
          <w:ilvl w:val="0"/>
          <w:numId w:val="42"/>
        </w:numPr>
        <w:tabs>
          <w:tab w:val="left" w:pos="994"/>
        </w:tabs>
        <w:autoSpaceDE w:val="0"/>
        <w:autoSpaceDN w:val="0"/>
        <w:adjustRightInd w:val="0"/>
        <w:spacing w:after="0" w:line="240" w:lineRule="auto"/>
        <w:rPr>
          <w:bCs/>
          <w:lang w:val="en"/>
        </w:rPr>
      </w:pPr>
      <w:r>
        <w:rPr>
          <w:bCs/>
          <w:lang w:val="en"/>
        </w:rPr>
        <w:t xml:space="preserve">Although </w:t>
      </w:r>
      <w:r w:rsidR="00885EF6">
        <w:rPr>
          <w:bCs/>
          <w:lang w:val="en"/>
        </w:rPr>
        <w:t>Harrison’s original</w:t>
      </w:r>
      <w:r>
        <w:rPr>
          <w:bCs/>
          <w:lang w:val="en"/>
        </w:rPr>
        <w:t xml:space="preserve"> SSG indicated a buy</w:t>
      </w:r>
      <w:r w:rsidR="00885EF6">
        <w:rPr>
          <w:bCs/>
          <w:lang w:val="en"/>
        </w:rPr>
        <w:t xml:space="preserve"> further discussion around the low price gave mixed results. </w:t>
      </w:r>
      <w:r w:rsidR="00B80933">
        <w:rPr>
          <w:bCs/>
          <w:lang w:val="en"/>
        </w:rPr>
        <w:t>The SSG as changed by the group had a U/D ratio of 2.3 due to an EPS forecast change from 13.2 to 10.5, which was a compromise from the original 13.5 and prefer</w:t>
      </w:r>
      <w:bookmarkStart w:id="0" w:name="_GoBack"/>
      <w:bookmarkEnd w:id="0"/>
      <w:r w:rsidR="00B80933">
        <w:rPr>
          <w:bCs/>
          <w:lang w:val="en"/>
        </w:rPr>
        <w:t xml:space="preserve">red procedure rating of 6.2. </w:t>
      </w:r>
      <w:r w:rsidR="00885EF6">
        <w:rPr>
          <w:bCs/>
          <w:lang w:val="en"/>
        </w:rPr>
        <w:t>No action to purchase shares at this time.</w:t>
      </w:r>
    </w:p>
    <w:p w:rsidR="003804F7" w:rsidRDefault="003804F7" w:rsidP="00C21012">
      <w:pPr>
        <w:widowControl w:val="0"/>
        <w:autoSpaceDE w:val="0"/>
        <w:autoSpaceDN w:val="0"/>
        <w:adjustRightInd w:val="0"/>
        <w:spacing w:after="0" w:line="240" w:lineRule="auto"/>
      </w:pPr>
    </w:p>
    <w:p w:rsidR="0074426E" w:rsidRDefault="00440BE4" w:rsidP="00C21012">
      <w:pPr>
        <w:widowControl w:val="0"/>
        <w:autoSpaceDE w:val="0"/>
        <w:autoSpaceDN w:val="0"/>
        <w:adjustRightInd w:val="0"/>
        <w:spacing w:after="0" w:line="240" w:lineRule="auto"/>
        <w:rPr>
          <w:rFonts w:cstheme="minorHAnsi"/>
          <w:lang w:val="en"/>
        </w:rPr>
      </w:pPr>
      <w:r w:rsidRPr="009517C5">
        <w:rPr>
          <w:rFonts w:cstheme="minorHAnsi"/>
          <w:b/>
          <w:bCs/>
          <w:u w:val="single"/>
          <w:lang w:val="en"/>
        </w:rPr>
        <w:t>Portfolio Review:</w:t>
      </w:r>
      <w:r w:rsidRPr="009517C5">
        <w:rPr>
          <w:rFonts w:cstheme="minorHAnsi"/>
          <w:lang w:val="en"/>
        </w:rPr>
        <w:t xml:space="preserve"> </w:t>
      </w:r>
    </w:p>
    <w:tbl>
      <w:tblPr>
        <w:tblW w:w="109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0"/>
        <w:gridCol w:w="810"/>
        <w:gridCol w:w="900"/>
        <w:gridCol w:w="1440"/>
        <w:gridCol w:w="1260"/>
        <w:gridCol w:w="990"/>
        <w:gridCol w:w="990"/>
        <w:gridCol w:w="900"/>
        <w:gridCol w:w="900"/>
        <w:gridCol w:w="1379"/>
      </w:tblGrid>
      <w:tr w:rsidR="00C359D9" w:rsidRPr="00F349BA" w:rsidTr="00A80A88">
        <w:trPr>
          <w:trHeight w:val="421"/>
          <w:jc w:val="center"/>
        </w:trPr>
        <w:tc>
          <w:tcPr>
            <w:tcW w:w="1340" w:type="dxa"/>
            <w:shd w:val="clear" w:color="auto" w:fill="auto"/>
            <w:vAlign w:val="bottom"/>
            <w:hideMark/>
          </w:tcPr>
          <w:p w:rsidR="00C359D9" w:rsidRPr="00F349BA" w:rsidRDefault="00C359D9" w:rsidP="00A80A88">
            <w:pPr>
              <w:spacing w:after="0" w:line="240" w:lineRule="auto"/>
              <w:rPr>
                <w:rFonts w:eastAsia="Times New Roman"/>
                <w:b/>
                <w:bCs/>
                <w:sz w:val="16"/>
                <w:szCs w:val="16"/>
              </w:rPr>
            </w:pPr>
            <w:r w:rsidRPr="00F349BA">
              <w:rPr>
                <w:rFonts w:eastAsia="Times New Roman"/>
                <w:b/>
                <w:bCs/>
                <w:sz w:val="16"/>
                <w:szCs w:val="16"/>
              </w:rPr>
              <w:t>Stock</w:t>
            </w:r>
          </w:p>
        </w:tc>
        <w:tc>
          <w:tcPr>
            <w:tcW w:w="810" w:type="dxa"/>
            <w:shd w:val="clear" w:color="auto" w:fill="auto"/>
            <w:vAlign w:val="bottom"/>
            <w:hideMark/>
          </w:tcPr>
          <w:p w:rsidR="00C359D9" w:rsidRPr="00F349BA" w:rsidRDefault="00C359D9" w:rsidP="00A80A88">
            <w:pPr>
              <w:spacing w:after="0" w:line="240" w:lineRule="auto"/>
              <w:jc w:val="center"/>
              <w:rPr>
                <w:rFonts w:eastAsia="Times New Roman"/>
                <w:b/>
                <w:bCs/>
                <w:sz w:val="16"/>
                <w:szCs w:val="16"/>
              </w:rPr>
            </w:pPr>
            <w:r w:rsidRPr="00F349BA">
              <w:rPr>
                <w:rFonts w:eastAsia="Times New Roman"/>
                <w:b/>
                <w:bCs/>
                <w:sz w:val="16"/>
                <w:szCs w:val="16"/>
              </w:rPr>
              <w:t>Symbol</w:t>
            </w:r>
          </w:p>
        </w:tc>
        <w:tc>
          <w:tcPr>
            <w:tcW w:w="900" w:type="dxa"/>
            <w:shd w:val="clear" w:color="auto" w:fill="auto"/>
            <w:vAlign w:val="bottom"/>
            <w:hideMark/>
          </w:tcPr>
          <w:p w:rsidR="00C359D9" w:rsidRPr="00F349BA" w:rsidRDefault="00C359D9" w:rsidP="00A80A88">
            <w:pPr>
              <w:spacing w:after="0" w:line="240" w:lineRule="auto"/>
              <w:jc w:val="center"/>
              <w:rPr>
                <w:rFonts w:eastAsia="Times New Roman"/>
                <w:b/>
                <w:bCs/>
                <w:sz w:val="16"/>
                <w:szCs w:val="16"/>
              </w:rPr>
            </w:pPr>
            <w:r w:rsidRPr="00F349BA">
              <w:rPr>
                <w:rFonts w:eastAsia="Times New Roman"/>
                <w:b/>
                <w:bCs/>
                <w:sz w:val="16"/>
                <w:szCs w:val="16"/>
              </w:rPr>
              <w:t>Watcher</w:t>
            </w:r>
          </w:p>
        </w:tc>
        <w:tc>
          <w:tcPr>
            <w:tcW w:w="1440" w:type="dxa"/>
            <w:shd w:val="clear" w:color="auto" w:fill="auto"/>
            <w:vAlign w:val="bottom"/>
            <w:hideMark/>
          </w:tcPr>
          <w:p w:rsidR="00C359D9" w:rsidRPr="00F349BA" w:rsidRDefault="00C359D9" w:rsidP="00A80A88">
            <w:pPr>
              <w:spacing w:after="0" w:line="240" w:lineRule="auto"/>
              <w:jc w:val="center"/>
              <w:rPr>
                <w:rFonts w:eastAsia="Times New Roman"/>
                <w:b/>
                <w:bCs/>
                <w:sz w:val="16"/>
                <w:szCs w:val="16"/>
              </w:rPr>
            </w:pPr>
            <w:r w:rsidRPr="00F349BA">
              <w:rPr>
                <w:rFonts w:eastAsia="Times New Roman"/>
                <w:b/>
                <w:bCs/>
                <w:sz w:val="16"/>
                <w:szCs w:val="16"/>
              </w:rPr>
              <w:t>Watcher: Buy/Hold/Sell</w:t>
            </w:r>
          </w:p>
        </w:tc>
        <w:tc>
          <w:tcPr>
            <w:tcW w:w="1260" w:type="dxa"/>
            <w:shd w:val="clear" w:color="auto" w:fill="auto"/>
            <w:vAlign w:val="bottom"/>
            <w:hideMark/>
          </w:tcPr>
          <w:p w:rsidR="00C359D9" w:rsidRPr="00F349BA" w:rsidRDefault="00C359D9" w:rsidP="00A80A88">
            <w:pPr>
              <w:spacing w:after="0" w:line="240" w:lineRule="auto"/>
              <w:jc w:val="center"/>
              <w:rPr>
                <w:rFonts w:eastAsia="Times New Roman"/>
                <w:b/>
                <w:bCs/>
                <w:sz w:val="16"/>
                <w:szCs w:val="16"/>
              </w:rPr>
            </w:pPr>
            <w:r w:rsidRPr="00F349BA">
              <w:rPr>
                <w:rFonts w:eastAsia="Times New Roman"/>
                <w:b/>
                <w:bCs/>
                <w:sz w:val="16"/>
                <w:szCs w:val="16"/>
              </w:rPr>
              <w:t>SSG: Buy/Hold/Sell</w:t>
            </w:r>
          </w:p>
        </w:tc>
        <w:tc>
          <w:tcPr>
            <w:tcW w:w="990" w:type="dxa"/>
            <w:vAlign w:val="bottom"/>
          </w:tcPr>
          <w:p w:rsidR="00C359D9" w:rsidRPr="00F349BA" w:rsidRDefault="00C359D9" w:rsidP="00A80A88">
            <w:pPr>
              <w:spacing w:after="0" w:line="240" w:lineRule="auto"/>
              <w:jc w:val="center"/>
              <w:rPr>
                <w:rFonts w:eastAsia="Times New Roman"/>
                <w:b/>
                <w:bCs/>
                <w:sz w:val="16"/>
                <w:szCs w:val="16"/>
              </w:rPr>
            </w:pPr>
            <w:r w:rsidRPr="00F349BA">
              <w:rPr>
                <w:rFonts w:eastAsia="Times New Roman"/>
                <w:b/>
                <w:bCs/>
                <w:sz w:val="16"/>
                <w:szCs w:val="16"/>
              </w:rPr>
              <w:t xml:space="preserve">Report posted </w:t>
            </w:r>
            <w:r>
              <w:rPr>
                <w:rFonts w:eastAsia="Times New Roman"/>
                <w:b/>
                <w:bCs/>
                <w:sz w:val="16"/>
                <w:szCs w:val="16"/>
              </w:rPr>
              <w:t>o</w:t>
            </w:r>
            <w:r w:rsidRPr="00F349BA">
              <w:rPr>
                <w:rFonts w:eastAsia="Times New Roman"/>
                <w:b/>
                <w:bCs/>
                <w:sz w:val="16"/>
                <w:szCs w:val="16"/>
              </w:rPr>
              <w:t>n:</w:t>
            </w:r>
          </w:p>
        </w:tc>
        <w:tc>
          <w:tcPr>
            <w:tcW w:w="990" w:type="dxa"/>
            <w:shd w:val="clear" w:color="auto" w:fill="auto"/>
            <w:vAlign w:val="bottom"/>
            <w:hideMark/>
          </w:tcPr>
          <w:p w:rsidR="00C359D9" w:rsidRPr="00F349BA" w:rsidRDefault="00C359D9" w:rsidP="00A80A88">
            <w:pPr>
              <w:spacing w:after="0" w:line="240" w:lineRule="auto"/>
              <w:jc w:val="center"/>
              <w:rPr>
                <w:rFonts w:eastAsia="Times New Roman"/>
                <w:b/>
                <w:bCs/>
                <w:sz w:val="16"/>
                <w:szCs w:val="16"/>
              </w:rPr>
            </w:pPr>
            <w:r w:rsidRPr="00F349BA">
              <w:rPr>
                <w:rFonts w:eastAsia="Times New Roman"/>
                <w:b/>
                <w:bCs/>
                <w:sz w:val="16"/>
                <w:szCs w:val="16"/>
              </w:rPr>
              <w:t># of Shares</w:t>
            </w:r>
          </w:p>
        </w:tc>
        <w:tc>
          <w:tcPr>
            <w:tcW w:w="900" w:type="dxa"/>
            <w:vAlign w:val="bottom"/>
          </w:tcPr>
          <w:p w:rsidR="00C359D9" w:rsidRPr="00F349BA" w:rsidRDefault="00C359D9" w:rsidP="00A80A88">
            <w:pPr>
              <w:spacing w:after="0" w:line="240" w:lineRule="auto"/>
              <w:jc w:val="center"/>
              <w:rPr>
                <w:rFonts w:eastAsia="Times New Roman"/>
                <w:b/>
                <w:bCs/>
                <w:sz w:val="16"/>
                <w:szCs w:val="16"/>
              </w:rPr>
            </w:pPr>
            <w:r w:rsidRPr="00F349BA">
              <w:rPr>
                <w:rFonts w:eastAsia="Times New Roman"/>
                <w:b/>
                <w:bCs/>
                <w:sz w:val="16"/>
                <w:szCs w:val="16"/>
              </w:rPr>
              <w:t>% of Portfolio</w:t>
            </w:r>
          </w:p>
        </w:tc>
        <w:tc>
          <w:tcPr>
            <w:tcW w:w="900" w:type="dxa"/>
            <w:shd w:val="clear" w:color="auto" w:fill="auto"/>
            <w:vAlign w:val="bottom"/>
            <w:hideMark/>
          </w:tcPr>
          <w:p w:rsidR="00C359D9" w:rsidRPr="00F349BA" w:rsidRDefault="00C359D9" w:rsidP="00A80A88">
            <w:pPr>
              <w:spacing w:after="0" w:line="240" w:lineRule="auto"/>
              <w:jc w:val="center"/>
              <w:rPr>
                <w:rFonts w:eastAsia="Times New Roman"/>
                <w:b/>
                <w:bCs/>
                <w:sz w:val="16"/>
                <w:szCs w:val="16"/>
              </w:rPr>
            </w:pPr>
            <w:r w:rsidRPr="00F349BA">
              <w:rPr>
                <w:rFonts w:eastAsia="Times New Roman"/>
                <w:b/>
                <w:bCs/>
                <w:sz w:val="16"/>
                <w:szCs w:val="16"/>
              </w:rPr>
              <w:t>Year End</w:t>
            </w:r>
          </w:p>
        </w:tc>
        <w:tc>
          <w:tcPr>
            <w:tcW w:w="1379" w:type="dxa"/>
            <w:shd w:val="clear" w:color="auto" w:fill="auto"/>
            <w:vAlign w:val="bottom"/>
            <w:hideMark/>
          </w:tcPr>
          <w:p w:rsidR="00C359D9" w:rsidRPr="00F349BA" w:rsidRDefault="00C359D9" w:rsidP="00A80A88">
            <w:pPr>
              <w:spacing w:after="0" w:line="240" w:lineRule="auto"/>
              <w:jc w:val="center"/>
              <w:rPr>
                <w:rFonts w:eastAsia="Times New Roman"/>
                <w:b/>
                <w:bCs/>
                <w:sz w:val="16"/>
                <w:szCs w:val="16"/>
              </w:rPr>
            </w:pPr>
            <w:r w:rsidRPr="00F349BA">
              <w:rPr>
                <w:rFonts w:eastAsia="Times New Roman"/>
                <w:b/>
                <w:bCs/>
                <w:sz w:val="16"/>
                <w:szCs w:val="16"/>
              </w:rPr>
              <w:t>Next Earnings Report:</w:t>
            </w:r>
          </w:p>
        </w:tc>
      </w:tr>
      <w:tr w:rsidR="00C359D9" w:rsidRPr="00D43480" w:rsidTr="00A80A88">
        <w:trPr>
          <w:trHeight w:val="261"/>
          <w:jc w:val="center"/>
        </w:trPr>
        <w:tc>
          <w:tcPr>
            <w:tcW w:w="1340" w:type="dxa"/>
            <w:shd w:val="clear" w:color="auto" w:fill="FFFFFF" w:themeFill="background1"/>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 xml:space="preserve">Apple </w:t>
            </w:r>
          </w:p>
        </w:tc>
        <w:tc>
          <w:tcPr>
            <w:tcW w:w="810" w:type="dxa"/>
            <w:shd w:val="clear" w:color="auto" w:fill="FFFFFF" w:themeFill="background1"/>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AAPL</w:t>
            </w:r>
          </w:p>
        </w:tc>
        <w:tc>
          <w:tcPr>
            <w:tcW w:w="900" w:type="dxa"/>
            <w:shd w:val="clear" w:color="auto" w:fill="FFFFFF" w:themeFill="background1"/>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Jackie</w:t>
            </w:r>
          </w:p>
        </w:tc>
        <w:tc>
          <w:tcPr>
            <w:tcW w:w="1440" w:type="dxa"/>
            <w:shd w:val="clear" w:color="auto" w:fill="FFFFFF" w:themeFill="background1"/>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FFFFFF" w:themeFill="background1"/>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shd w:val="clear" w:color="auto" w:fill="FFFFFF" w:themeFill="background1"/>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07-04</w:t>
            </w:r>
          </w:p>
        </w:tc>
        <w:tc>
          <w:tcPr>
            <w:tcW w:w="990" w:type="dxa"/>
            <w:shd w:val="clear" w:color="auto" w:fill="FFFFFF" w:themeFill="background1"/>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95</w:t>
            </w:r>
          </w:p>
        </w:tc>
        <w:tc>
          <w:tcPr>
            <w:tcW w:w="900" w:type="dxa"/>
            <w:shd w:val="clear" w:color="auto" w:fill="FFFFFF" w:themeFill="background1"/>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9.8</w:t>
            </w:r>
          </w:p>
        </w:tc>
        <w:tc>
          <w:tcPr>
            <w:tcW w:w="900" w:type="dxa"/>
            <w:shd w:val="clear" w:color="auto" w:fill="FFFFFF" w:themeFill="background1"/>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Sep.</w:t>
            </w:r>
          </w:p>
        </w:tc>
        <w:tc>
          <w:tcPr>
            <w:tcW w:w="1379" w:type="dxa"/>
            <w:shd w:val="clear" w:color="auto" w:fill="FFFFFF" w:themeFill="background1"/>
            <w:noWrap/>
            <w:vAlign w:val="bottom"/>
          </w:tcPr>
          <w:p w:rsidR="00C359D9" w:rsidRPr="00D43480" w:rsidRDefault="00C359D9" w:rsidP="00A80A88">
            <w:pPr>
              <w:spacing w:after="0" w:line="240" w:lineRule="auto"/>
              <w:jc w:val="center"/>
              <w:rPr>
                <w:rFonts w:eastAsia="Times New Roman"/>
                <w:sz w:val="18"/>
                <w:szCs w:val="18"/>
              </w:rPr>
            </w:pPr>
            <w:r>
              <w:rPr>
                <w:rFonts w:eastAsia="Times New Roman"/>
                <w:sz w:val="18"/>
                <w:szCs w:val="18"/>
              </w:rPr>
              <w:t>07-24/17</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 xml:space="preserve">C. H. Robinson </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CHRW</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Larry</w:t>
            </w:r>
          </w:p>
        </w:tc>
        <w:tc>
          <w:tcPr>
            <w:tcW w:w="1440" w:type="dxa"/>
            <w:shd w:val="clear" w:color="auto" w:fill="auto"/>
            <w:noWrap/>
            <w:vAlign w:val="bottom"/>
          </w:tcPr>
          <w:p w:rsidR="00C359D9" w:rsidRPr="00662773"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color w:val="FF0000"/>
                <w:sz w:val="18"/>
                <w:szCs w:val="18"/>
              </w:rPr>
            </w:pPr>
            <w:r w:rsidRPr="001C3B79">
              <w:rPr>
                <w:rFonts w:eastAsia="Times New Roman"/>
                <w:sz w:val="18"/>
                <w:szCs w:val="18"/>
              </w:rPr>
              <w:t>BUY</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07-15</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185</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9.9</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07-19</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 xml:space="preserve">Cerner  </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CERN</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Pr>
                <w:rFonts w:eastAsia="Times New Roman"/>
                <w:sz w:val="18"/>
                <w:szCs w:val="18"/>
              </w:rPr>
              <w:t>Gregory</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07-09</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60</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3.1</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08-01</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Cognizant</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CTSH</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Pr>
                <w:rFonts w:eastAsia="Times New Roman"/>
                <w:sz w:val="18"/>
                <w:szCs w:val="18"/>
              </w:rPr>
              <w:t>Craig</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 xml:space="preserve">BUY 25 </w:t>
            </w:r>
            <w:proofErr w:type="spellStart"/>
            <w:r>
              <w:rPr>
                <w:rFonts w:eastAsia="Times New Roman"/>
                <w:sz w:val="18"/>
                <w:szCs w:val="18"/>
              </w:rPr>
              <w:t>sh</w:t>
            </w:r>
            <w:proofErr w:type="spellEnd"/>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BUY</w:t>
            </w:r>
          </w:p>
        </w:tc>
        <w:tc>
          <w:tcPr>
            <w:tcW w:w="990" w:type="dxa"/>
            <w:vAlign w:val="bottom"/>
          </w:tcPr>
          <w:p w:rsidR="00C359D9" w:rsidRPr="00771A73" w:rsidRDefault="00C359D9" w:rsidP="00A80A88">
            <w:pPr>
              <w:spacing w:after="0" w:line="240" w:lineRule="auto"/>
              <w:jc w:val="center"/>
              <w:rPr>
                <w:rFonts w:eastAsia="Times New Roman"/>
                <w:sz w:val="16"/>
                <w:szCs w:val="16"/>
              </w:rPr>
            </w:pPr>
            <w:r>
              <w:rPr>
                <w:rFonts w:eastAsia="Times New Roman"/>
                <w:sz w:val="16"/>
                <w:szCs w:val="16"/>
              </w:rPr>
              <w:t>07-10</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200</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10.6</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08-04</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CVS Health</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CVS</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Latisha</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07-10</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110</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6.8</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08-10</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Danaher</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DHR</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Harrison</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07-13</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110</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7.2</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07-20</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Fastenal</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FAST</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Rich</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 xml:space="preserve">SELL </w:t>
            </w:r>
            <w:r w:rsidRPr="00CF27A6">
              <w:rPr>
                <w:rFonts w:eastAsia="Times New Roman"/>
                <w:sz w:val="16"/>
                <w:szCs w:val="16"/>
              </w:rPr>
              <w:t>50</w:t>
            </w:r>
            <w:r>
              <w:rPr>
                <w:rFonts w:eastAsia="Times New Roman"/>
                <w:sz w:val="16"/>
                <w:szCs w:val="16"/>
              </w:rPr>
              <w:t>-</w:t>
            </w:r>
            <w:r w:rsidRPr="00CF27A6">
              <w:rPr>
                <w:rFonts w:eastAsia="Times New Roman"/>
                <w:sz w:val="16"/>
                <w:szCs w:val="16"/>
              </w:rPr>
              <w:t>6/</w:t>
            </w:r>
            <w:r>
              <w:rPr>
                <w:rFonts w:eastAsia="Times New Roman"/>
                <w:sz w:val="16"/>
                <w:szCs w:val="16"/>
              </w:rPr>
              <w:t>22/</w:t>
            </w:r>
            <w:r w:rsidRPr="00CF27A6">
              <w:rPr>
                <w:rFonts w:eastAsia="Times New Roman"/>
                <w:sz w:val="16"/>
                <w:szCs w:val="16"/>
              </w:rPr>
              <w:t>15</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07-09</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250</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8.7</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B779DA" w:rsidRDefault="00C359D9" w:rsidP="00A80A88">
            <w:pPr>
              <w:spacing w:after="0" w:line="240" w:lineRule="auto"/>
              <w:jc w:val="center"/>
              <w:rPr>
                <w:rFonts w:eastAsia="Times New Roman"/>
                <w:sz w:val="18"/>
                <w:szCs w:val="18"/>
              </w:rPr>
            </w:pPr>
            <w:r w:rsidRPr="00B779DA">
              <w:rPr>
                <w:rFonts w:eastAsia="Times New Roman"/>
                <w:sz w:val="18"/>
                <w:szCs w:val="18"/>
              </w:rPr>
              <w:t>07-12 reported</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 xml:space="preserve">Gilead </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GILD</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Kate</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07-10</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105</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5.7</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07-26</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 xml:space="preserve">LKQ Corp </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LKQ</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Frank</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HOLD/BUY</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07-10</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375</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9.3</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07-27</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Novo Nordisk</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NVO</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Ian</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07-09</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200</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6.6</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08-08</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Polaris</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PII</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Pr>
                <w:rFonts w:eastAsia="Times New Roman"/>
                <w:sz w:val="18"/>
                <w:szCs w:val="18"/>
              </w:rPr>
              <w:t>Nelson</w:t>
            </w:r>
          </w:p>
        </w:tc>
        <w:tc>
          <w:tcPr>
            <w:tcW w:w="1440" w:type="dxa"/>
            <w:shd w:val="clear" w:color="auto" w:fill="auto"/>
            <w:noWrap/>
            <w:vAlign w:val="bottom"/>
          </w:tcPr>
          <w:p w:rsidR="00C359D9" w:rsidRPr="00952D6E"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07-08</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65</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4.4</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07-20</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Schlumberger</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SLB</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Mary</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07-10</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140</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7.2</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07-21</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Signature Bank</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SBNY</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Craig</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07-08</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110</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12</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07-19</w:t>
            </w:r>
          </w:p>
        </w:tc>
      </w:tr>
      <w:tr w:rsidR="00C359D9" w:rsidRPr="0081005F" w:rsidTr="00A80A88">
        <w:trPr>
          <w:trHeight w:val="261"/>
          <w:jc w:val="center"/>
        </w:trPr>
        <w:tc>
          <w:tcPr>
            <w:tcW w:w="134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Starbucks</w:t>
            </w:r>
          </w:p>
        </w:tc>
        <w:tc>
          <w:tcPr>
            <w:tcW w:w="81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SBUX</w:t>
            </w:r>
          </w:p>
        </w:tc>
        <w:tc>
          <w:tcPr>
            <w:tcW w:w="900" w:type="dxa"/>
            <w:shd w:val="clear" w:color="auto" w:fill="auto"/>
            <w:noWrap/>
            <w:vAlign w:val="bottom"/>
            <w:hideMark/>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Gerry</w:t>
            </w:r>
          </w:p>
        </w:tc>
        <w:tc>
          <w:tcPr>
            <w:tcW w:w="144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BUY</w:t>
            </w:r>
          </w:p>
        </w:tc>
        <w:tc>
          <w:tcPr>
            <w:tcW w:w="126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BUY 40</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07-13</w:t>
            </w:r>
          </w:p>
        </w:tc>
        <w:tc>
          <w:tcPr>
            <w:tcW w:w="99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60</w:t>
            </w:r>
          </w:p>
        </w:tc>
        <w:tc>
          <w:tcPr>
            <w:tcW w:w="90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2.8</w:t>
            </w:r>
          </w:p>
        </w:tc>
        <w:tc>
          <w:tcPr>
            <w:tcW w:w="900" w:type="dxa"/>
            <w:shd w:val="clear" w:color="auto" w:fill="auto"/>
            <w:noWrap/>
            <w:vAlign w:val="bottom"/>
            <w:hideMark/>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Sep</w:t>
            </w:r>
          </w:p>
        </w:tc>
        <w:tc>
          <w:tcPr>
            <w:tcW w:w="1379"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07-27</w:t>
            </w:r>
          </w:p>
        </w:tc>
      </w:tr>
      <w:tr w:rsidR="00C359D9" w:rsidRPr="00D43480" w:rsidTr="00A80A88">
        <w:trPr>
          <w:trHeight w:val="261"/>
          <w:jc w:val="center"/>
        </w:trPr>
        <w:tc>
          <w:tcPr>
            <w:tcW w:w="1340" w:type="dxa"/>
            <w:shd w:val="clear" w:color="auto" w:fill="auto"/>
            <w:noWrap/>
            <w:vAlign w:val="bottom"/>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Tractor Supply</w:t>
            </w:r>
          </w:p>
        </w:tc>
        <w:tc>
          <w:tcPr>
            <w:tcW w:w="810" w:type="dxa"/>
            <w:shd w:val="clear" w:color="auto" w:fill="auto"/>
            <w:noWrap/>
            <w:vAlign w:val="bottom"/>
          </w:tcPr>
          <w:p w:rsidR="00C359D9" w:rsidRPr="0081005F" w:rsidRDefault="00C359D9" w:rsidP="00A80A88">
            <w:pPr>
              <w:spacing w:after="0" w:line="240" w:lineRule="auto"/>
              <w:rPr>
                <w:rFonts w:eastAsia="Times New Roman"/>
                <w:sz w:val="18"/>
                <w:szCs w:val="18"/>
              </w:rPr>
            </w:pPr>
            <w:r w:rsidRPr="0081005F">
              <w:rPr>
                <w:rFonts w:eastAsia="Times New Roman"/>
                <w:sz w:val="18"/>
                <w:szCs w:val="18"/>
              </w:rPr>
              <w:t>TSCO</w:t>
            </w:r>
          </w:p>
        </w:tc>
        <w:tc>
          <w:tcPr>
            <w:tcW w:w="900" w:type="dxa"/>
            <w:shd w:val="clear" w:color="auto" w:fill="auto"/>
            <w:noWrap/>
            <w:vAlign w:val="bottom"/>
          </w:tcPr>
          <w:p w:rsidR="00C359D9" w:rsidRPr="0081005F" w:rsidRDefault="00C359D9" w:rsidP="00A80A88">
            <w:pPr>
              <w:spacing w:after="0" w:line="240" w:lineRule="auto"/>
              <w:rPr>
                <w:rFonts w:eastAsia="Times New Roman"/>
                <w:sz w:val="18"/>
                <w:szCs w:val="18"/>
              </w:rPr>
            </w:pPr>
            <w:r>
              <w:rPr>
                <w:rFonts w:eastAsia="Times New Roman"/>
                <w:sz w:val="18"/>
                <w:szCs w:val="18"/>
              </w:rPr>
              <w:t>Dene</w:t>
            </w:r>
          </w:p>
        </w:tc>
        <w:tc>
          <w:tcPr>
            <w:tcW w:w="144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HOLD</w:t>
            </w:r>
          </w:p>
        </w:tc>
        <w:tc>
          <w:tcPr>
            <w:tcW w:w="126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BUY</w:t>
            </w:r>
          </w:p>
        </w:tc>
        <w:tc>
          <w:tcPr>
            <w:tcW w:w="990" w:type="dxa"/>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07-09</w:t>
            </w:r>
          </w:p>
        </w:tc>
        <w:tc>
          <w:tcPr>
            <w:tcW w:w="990" w:type="dxa"/>
            <w:vAlign w:val="bottom"/>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50</w:t>
            </w:r>
          </w:p>
        </w:tc>
        <w:tc>
          <w:tcPr>
            <w:tcW w:w="90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Pr>
                <w:rFonts w:eastAsia="Times New Roman"/>
                <w:sz w:val="18"/>
                <w:szCs w:val="18"/>
              </w:rPr>
              <w:t>2.0</w:t>
            </w:r>
          </w:p>
        </w:tc>
        <w:tc>
          <w:tcPr>
            <w:tcW w:w="900" w:type="dxa"/>
            <w:shd w:val="clear" w:color="auto" w:fill="auto"/>
            <w:noWrap/>
            <w:vAlign w:val="bottom"/>
          </w:tcPr>
          <w:p w:rsidR="00C359D9" w:rsidRPr="0081005F" w:rsidRDefault="00C359D9" w:rsidP="00A80A88">
            <w:pPr>
              <w:spacing w:after="0" w:line="240" w:lineRule="auto"/>
              <w:jc w:val="center"/>
              <w:rPr>
                <w:rFonts w:eastAsia="Times New Roman"/>
                <w:sz w:val="18"/>
                <w:szCs w:val="18"/>
              </w:rPr>
            </w:pPr>
            <w:r w:rsidRPr="0081005F">
              <w:rPr>
                <w:rFonts w:eastAsia="Times New Roman"/>
                <w:sz w:val="18"/>
                <w:szCs w:val="18"/>
              </w:rPr>
              <w:t>Dec</w:t>
            </w:r>
          </w:p>
        </w:tc>
        <w:tc>
          <w:tcPr>
            <w:tcW w:w="1379" w:type="dxa"/>
            <w:shd w:val="clear" w:color="auto" w:fill="auto"/>
            <w:noWrap/>
            <w:vAlign w:val="bottom"/>
          </w:tcPr>
          <w:p w:rsidR="00C359D9" w:rsidRPr="00D43480" w:rsidRDefault="00C359D9" w:rsidP="00A80A88">
            <w:pPr>
              <w:spacing w:after="0" w:line="240" w:lineRule="auto"/>
              <w:jc w:val="center"/>
              <w:rPr>
                <w:rFonts w:eastAsia="Times New Roman"/>
                <w:sz w:val="18"/>
                <w:szCs w:val="18"/>
              </w:rPr>
            </w:pPr>
            <w:r>
              <w:rPr>
                <w:rFonts w:eastAsia="Times New Roman"/>
                <w:sz w:val="18"/>
                <w:szCs w:val="18"/>
              </w:rPr>
              <w:t>07-26</w:t>
            </w:r>
          </w:p>
        </w:tc>
      </w:tr>
      <w:tr w:rsidR="00C359D9" w:rsidRPr="00D43480" w:rsidTr="00A80A88">
        <w:trPr>
          <w:trHeight w:val="431"/>
          <w:jc w:val="center"/>
        </w:trPr>
        <w:tc>
          <w:tcPr>
            <w:tcW w:w="1340" w:type="dxa"/>
          </w:tcPr>
          <w:p w:rsidR="00C359D9" w:rsidRDefault="00C359D9" w:rsidP="00A80A88">
            <w:pPr>
              <w:spacing w:after="0"/>
              <w:ind w:left="21"/>
              <w:jc w:val="center"/>
              <w:rPr>
                <w:rFonts w:eastAsia="Times New Roman"/>
                <w:b/>
                <w:sz w:val="24"/>
              </w:rPr>
            </w:pPr>
          </w:p>
        </w:tc>
        <w:tc>
          <w:tcPr>
            <w:tcW w:w="9569" w:type="dxa"/>
            <w:gridSpan w:val="9"/>
            <w:shd w:val="clear" w:color="auto" w:fill="auto"/>
            <w:noWrap/>
            <w:vAlign w:val="bottom"/>
          </w:tcPr>
          <w:p w:rsidR="00C359D9" w:rsidRPr="00A66B2D" w:rsidRDefault="00C359D9" w:rsidP="00A80A88">
            <w:pPr>
              <w:spacing w:after="0"/>
              <w:ind w:left="21"/>
              <w:jc w:val="center"/>
              <w:rPr>
                <w:rFonts w:eastAsia="Times New Roman"/>
                <w:sz w:val="18"/>
                <w:szCs w:val="18"/>
              </w:rPr>
            </w:pPr>
            <w:r w:rsidRPr="00A66B2D">
              <w:rPr>
                <w:rFonts w:eastAsia="Times New Roman"/>
                <w:b/>
                <w:sz w:val="18"/>
                <w:szCs w:val="18"/>
              </w:rPr>
              <w:t>Stocks on “Pounce / Watch List”</w:t>
            </w:r>
          </w:p>
        </w:tc>
      </w:tr>
      <w:tr w:rsidR="00C359D9" w:rsidRPr="00D32130" w:rsidTr="00A80A88">
        <w:trPr>
          <w:trHeight w:val="170"/>
          <w:jc w:val="center"/>
        </w:trPr>
        <w:tc>
          <w:tcPr>
            <w:tcW w:w="1340" w:type="dxa"/>
            <w:shd w:val="clear" w:color="auto" w:fill="auto"/>
            <w:noWrap/>
            <w:vAlign w:val="center"/>
          </w:tcPr>
          <w:p w:rsidR="00C359D9" w:rsidRPr="00D32130" w:rsidRDefault="00C359D9" w:rsidP="00A80A88">
            <w:pPr>
              <w:spacing w:after="0" w:line="240" w:lineRule="auto"/>
              <w:rPr>
                <w:rFonts w:eastAsia="Times New Roman"/>
                <w:sz w:val="18"/>
                <w:szCs w:val="18"/>
              </w:rPr>
            </w:pPr>
            <w:r w:rsidRPr="00D32130">
              <w:rPr>
                <w:rFonts w:eastAsia="Times New Roman"/>
                <w:sz w:val="18"/>
                <w:szCs w:val="18"/>
              </w:rPr>
              <w:t>ULTA</w:t>
            </w:r>
          </w:p>
        </w:tc>
        <w:tc>
          <w:tcPr>
            <w:tcW w:w="810" w:type="dxa"/>
            <w:shd w:val="clear" w:color="auto" w:fill="auto"/>
            <w:noWrap/>
            <w:vAlign w:val="center"/>
          </w:tcPr>
          <w:p w:rsidR="00C359D9" w:rsidRPr="00D32130" w:rsidRDefault="00C359D9" w:rsidP="00A80A88">
            <w:pPr>
              <w:spacing w:after="0" w:line="240" w:lineRule="auto"/>
              <w:rPr>
                <w:rFonts w:eastAsia="Times New Roman"/>
                <w:sz w:val="18"/>
                <w:szCs w:val="18"/>
              </w:rPr>
            </w:pPr>
            <w:r w:rsidRPr="00D32130">
              <w:rPr>
                <w:rFonts w:eastAsia="Times New Roman"/>
                <w:sz w:val="18"/>
                <w:szCs w:val="18"/>
              </w:rPr>
              <w:t>ULTA</w:t>
            </w:r>
          </w:p>
        </w:tc>
        <w:tc>
          <w:tcPr>
            <w:tcW w:w="900" w:type="dxa"/>
            <w:shd w:val="clear" w:color="auto" w:fill="auto"/>
            <w:noWrap/>
            <w:vAlign w:val="center"/>
          </w:tcPr>
          <w:p w:rsidR="00C359D9" w:rsidRPr="00D32130" w:rsidRDefault="00C359D9" w:rsidP="00A80A88">
            <w:pPr>
              <w:spacing w:after="0" w:line="240" w:lineRule="auto"/>
              <w:rPr>
                <w:rFonts w:eastAsia="Times New Roman"/>
                <w:sz w:val="18"/>
                <w:szCs w:val="18"/>
              </w:rPr>
            </w:pPr>
            <w:r w:rsidRPr="00D32130">
              <w:rPr>
                <w:rFonts w:eastAsia="Times New Roman"/>
                <w:sz w:val="18"/>
                <w:szCs w:val="18"/>
              </w:rPr>
              <w:t>Ian</w:t>
            </w:r>
          </w:p>
        </w:tc>
        <w:tc>
          <w:tcPr>
            <w:tcW w:w="2700" w:type="dxa"/>
            <w:gridSpan w:val="2"/>
          </w:tcPr>
          <w:p w:rsidR="00C359D9" w:rsidRPr="00D32130" w:rsidRDefault="00C359D9" w:rsidP="00A80A88">
            <w:pPr>
              <w:spacing w:after="0" w:line="240" w:lineRule="auto"/>
              <w:jc w:val="center"/>
              <w:rPr>
                <w:rFonts w:eastAsia="Times New Roman"/>
                <w:sz w:val="18"/>
                <w:szCs w:val="18"/>
              </w:rPr>
            </w:pPr>
            <w:r>
              <w:rPr>
                <w:rFonts w:eastAsia="Times New Roman"/>
                <w:sz w:val="18"/>
                <w:szCs w:val="18"/>
              </w:rPr>
              <w:t>Buy range: 169.5 to 245.70</w:t>
            </w:r>
          </w:p>
        </w:tc>
        <w:tc>
          <w:tcPr>
            <w:tcW w:w="990" w:type="dxa"/>
            <w:vAlign w:val="bottom"/>
          </w:tcPr>
          <w:p w:rsidR="00C359D9" w:rsidRPr="00D32130" w:rsidRDefault="00C359D9" w:rsidP="00A80A88">
            <w:pPr>
              <w:spacing w:after="0" w:line="240" w:lineRule="auto"/>
              <w:jc w:val="center"/>
              <w:rPr>
                <w:rFonts w:eastAsia="Times New Roman"/>
                <w:sz w:val="18"/>
                <w:szCs w:val="18"/>
              </w:rPr>
            </w:pPr>
            <w:r>
              <w:rPr>
                <w:rFonts w:eastAsia="Times New Roman"/>
                <w:sz w:val="18"/>
                <w:szCs w:val="18"/>
              </w:rPr>
              <w:t>07-10</w:t>
            </w:r>
          </w:p>
        </w:tc>
        <w:tc>
          <w:tcPr>
            <w:tcW w:w="990" w:type="dxa"/>
          </w:tcPr>
          <w:p w:rsidR="00C359D9" w:rsidRPr="00D32130" w:rsidRDefault="00C359D9" w:rsidP="00A80A88">
            <w:pPr>
              <w:spacing w:after="0" w:line="240" w:lineRule="auto"/>
              <w:jc w:val="center"/>
              <w:rPr>
                <w:rFonts w:eastAsia="Times New Roman"/>
                <w:sz w:val="18"/>
                <w:szCs w:val="18"/>
              </w:rPr>
            </w:pPr>
          </w:p>
        </w:tc>
        <w:tc>
          <w:tcPr>
            <w:tcW w:w="900"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c>
          <w:tcPr>
            <w:tcW w:w="900"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c>
          <w:tcPr>
            <w:tcW w:w="1379"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r>
      <w:tr w:rsidR="00C359D9" w:rsidRPr="00D32130" w:rsidTr="00A80A88">
        <w:trPr>
          <w:trHeight w:val="170"/>
          <w:jc w:val="center"/>
        </w:trPr>
        <w:tc>
          <w:tcPr>
            <w:tcW w:w="1340" w:type="dxa"/>
            <w:shd w:val="clear" w:color="auto" w:fill="auto"/>
            <w:noWrap/>
            <w:vAlign w:val="center"/>
          </w:tcPr>
          <w:p w:rsidR="00C359D9" w:rsidRPr="00D32130" w:rsidRDefault="00C359D9" w:rsidP="00A80A88">
            <w:pPr>
              <w:spacing w:after="0" w:line="240" w:lineRule="auto"/>
              <w:rPr>
                <w:rFonts w:eastAsia="Times New Roman"/>
                <w:sz w:val="18"/>
                <w:szCs w:val="18"/>
              </w:rPr>
            </w:pPr>
            <w:proofErr w:type="spellStart"/>
            <w:r>
              <w:rPr>
                <w:rFonts w:eastAsia="Times New Roman"/>
                <w:sz w:val="18"/>
                <w:szCs w:val="18"/>
              </w:rPr>
              <w:t>Mednax</w:t>
            </w:r>
            <w:proofErr w:type="spellEnd"/>
          </w:p>
        </w:tc>
        <w:tc>
          <w:tcPr>
            <w:tcW w:w="810" w:type="dxa"/>
            <w:shd w:val="clear" w:color="auto" w:fill="auto"/>
            <w:noWrap/>
            <w:vAlign w:val="center"/>
          </w:tcPr>
          <w:p w:rsidR="00C359D9" w:rsidRPr="00D32130" w:rsidRDefault="00C359D9" w:rsidP="00A80A88">
            <w:pPr>
              <w:spacing w:after="0" w:line="240" w:lineRule="auto"/>
              <w:rPr>
                <w:rFonts w:eastAsia="Times New Roman"/>
                <w:sz w:val="18"/>
                <w:szCs w:val="18"/>
              </w:rPr>
            </w:pPr>
            <w:r>
              <w:rPr>
                <w:rFonts w:eastAsia="Times New Roman"/>
                <w:sz w:val="18"/>
                <w:szCs w:val="18"/>
              </w:rPr>
              <w:t>MD</w:t>
            </w:r>
          </w:p>
        </w:tc>
        <w:tc>
          <w:tcPr>
            <w:tcW w:w="900" w:type="dxa"/>
            <w:shd w:val="clear" w:color="auto" w:fill="auto"/>
            <w:noWrap/>
            <w:vAlign w:val="center"/>
          </w:tcPr>
          <w:p w:rsidR="00C359D9" w:rsidRPr="00D32130" w:rsidRDefault="00C359D9" w:rsidP="00A80A88">
            <w:pPr>
              <w:spacing w:after="0" w:line="240" w:lineRule="auto"/>
              <w:rPr>
                <w:rFonts w:eastAsia="Times New Roman"/>
                <w:sz w:val="18"/>
                <w:szCs w:val="18"/>
              </w:rPr>
            </w:pPr>
            <w:r>
              <w:rPr>
                <w:rFonts w:eastAsia="Times New Roman"/>
                <w:sz w:val="18"/>
                <w:szCs w:val="18"/>
              </w:rPr>
              <w:t>Marty</w:t>
            </w:r>
          </w:p>
        </w:tc>
        <w:tc>
          <w:tcPr>
            <w:tcW w:w="2700" w:type="dxa"/>
            <w:gridSpan w:val="2"/>
          </w:tcPr>
          <w:p w:rsidR="00C359D9" w:rsidRDefault="00C359D9" w:rsidP="00A80A88">
            <w:pPr>
              <w:spacing w:after="0" w:line="240" w:lineRule="auto"/>
              <w:jc w:val="center"/>
              <w:rPr>
                <w:rFonts w:eastAsia="Times New Roman"/>
                <w:sz w:val="18"/>
                <w:szCs w:val="18"/>
              </w:rPr>
            </w:pPr>
            <w:r>
              <w:rPr>
                <w:rFonts w:eastAsia="Times New Roman"/>
                <w:sz w:val="18"/>
                <w:szCs w:val="18"/>
              </w:rPr>
              <w:t>No update</w:t>
            </w:r>
          </w:p>
        </w:tc>
        <w:tc>
          <w:tcPr>
            <w:tcW w:w="990" w:type="dxa"/>
            <w:vAlign w:val="bottom"/>
          </w:tcPr>
          <w:p w:rsidR="00C359D9" w:rsidRDefault="00C359D9" w:rsidP="00A80A88">
            <w:pPr>
              <w:spacing w:after="0" w:line="240" w:lineRule="auto"/>
              <w:jc w:val="center"/>
              <w:rPr>
                <w:rFonts w:eastAsia="Times New Roman"/>
                <w:sz w:val="18"/>
                <w:szCs w:val="18"/>
              </w:rPr>
            </w:pPr>
          </w:p>
        </w:tc>
        <w:tc>
          <w:tcPr>
            <w:tcW w:w="990" w:type="dxa"/>
          </w:tcPr>
          <w:p w:rsidR="00C359D9" w:rsidRPr="00D32130" w:rsidRDefault="00C359D9" w:rsidP="00A80A88">
            <w:pPr>
              <w:spacing w:after="0" w:line="240" w:lineRule="auto"/>
              <w:jc w:val="center"/>
              <w:rPr>
                <w:rFonts w:eastAsia="Times New Roman"/>
                <w:sz w:val="18"/>
                <w:szCs w:val="18"/>
              </w:rPr>
            </w:pPr>
          </w:p>
        </w:tc>
        <w:tc>
          <w:tcPr>
            <w:tcW w:w="900"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c>
          <w:tcPr>
            <w:tcW w:w="900"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c>
          <w:tcPr>
            <w:tcW w:w="1379"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r>
      <w:tr w:rsidR="00C359D9" w:rsidRPr="00D32130" w:rsidTr="00A80A88">
        <w:trPr>
          <w:trHeight w:val="161"/>
          <w:jc w:val="center"/>
        </w:trPr>
        <w:tc>
          <w:tcPr>
            <w:tcW w:w="1340" w:type="dxa"/>
            <w:shd w:val="clear" w:color="auto" w:fill="auto"/>
            <w:noWrap/>
            <w:vAlign w:val="center"/>
          </w:tcPr>
          <w:p w:rsidR="00C359D9" w:rsidRPr="00D32130" w:rsidRDefault="00C359D9" w:rsidP="00A80A88">
            <w:pPr>
              <w:spacing w:after="0" w:line="240" w:lineRule="auto"/>
              <w:rPr>
                <w:rFonts w:eastAsia="Times New Roman"/>
                <w:sz w:val="18"/>
                <w:szCs w:val="18"/>
              </w:rPr>
            </w:pPr>
            <w:r w:rsidRPr="00D32130">
              <w:rPr>
                <w:rFonts w:eastAsia="Times New Roman"/>
                <w:sz w:val="18"/>
                <w:szCs w:val="18"/>
              </w:rPr>
              <w:t>NIC INC</w:t>
            </w:r>
          </w:p>
        </w:tc>
        <w:tc>
          <w:tcPr>
            <w:tcW w:w="810" w:type="dxa"/>
            <w:shd w:val="clear" w:color="auto" w:fill="auto"/>
            <w:noWrap/>
            <w:vAlign w:val="center"/>
          </w:tcPr>
          <w:p w:rsidR="00C359D9" w:rsidRPr="00D32130" w:rsidRDefault="00C359D9" w:rsidP="00A80A88">
            <w:pPr>
              <w:spacing w:after="0" w:line="240" w:lineRule="auto"/>
              <w:rPr>
                <w:rFonts w:eastAsia="Times New Roman"/>
                <w:sz w:val="18"/>
                <w:szCs w:val="18"/>
              </w:rPr>
            </w:pPr>
            <w:r w:rsidRPr="00D32130">
              <w:rPr>
                <w:rFonts w:eastAsia="Times New Roman"/>
                <w:sz w:val="18"/>
                <w:szCs w:val="18"/>
              </w:rPr>
              <w:t>EGOV</w:t>
            </w:r>
          </w:p>
        </w:tc>
        <w:tc>
          <w:tcPr>
            <w:tcW w:w="900" w:type="dxa"/>
            <w:shd w:val="clear" w:color="auto" w:fill="auto"/>
            <w:noWrap/>
            <w:vAlign w:val="center"/>
          </w:tcPr>
          <w:p w:rsidR="00C359D9" w:rsidRPr="00D32130" w:rsidRDefault="00C359D9" w:rsidP="00A80A88">
            <w:pPr>
              <w:spacing w:after="0" w:line="240" w:lineRule="auto"/>
              <w:rPr>
                <w:rFonts w:eastAsia="Times New Roman"/>
                <w:sz w:val="18"/>
                <w:szCs w:val="18"/>
              </w:rPr>
            </w:pPr>
            <w:r w:rsidRPr="00D32130">
              <w:rPr>
                <w:rFonts w:eastAsia="Times New Roman"/>
                <w:sz w:val="18"/>
                <w:szCs w:val="18"/>
              </w:rPr>
              <w:t>Michele</w:t>
            </w:r>
          </w:p>
        </w:tc>
        <w:tc>
          <w:tcPr>
            <w:tcW w:w="2700" w:type="dxa"/>
            <w:gridSpan w:val="2"/>
          </w:tcPr>
          <w:p w:rsidR="00C359D9" w:rsidRPr="00D32130" w:rsidRDefault="00C359D9" w:rsidP="00A80A88">
            <w:pPr>
              <w:spacing w:after="0" w:line="240" w:lineRule="auto"/>
              <w:jc w:val="center"/>
              <w:rPr>
                <w:rFonts w:eastAsia="Times New Roman"/>
                <w:sz w:val="18"/>
                <w:szCs w:val="18"/>
              </w:rPr>
            </w:pPr>
            <w:r>
              <w:rPr>
                <w:rFonts w:eastAsia="Times New Roman"/>
                <w:sz w:val="18"/>
                <w:szCs w:val="18"/>
              </w:rPr>
              <w:t>No update</w:t>
            </w:r>
          </w:p>
        </w:tc>
        <w:tc>
          <w:tcPr>
            <w:tcW w:w="990" w:type="dxa"/>
            <w:vAlign w:val="bottom"/>
          </w:tcPr>
          <w:p w:rsidR="00C359D9" w:rsidRPr="00D32130" w:rsidRDefault="00C359D9" w:rsidP="00A80A88">
            <w:pPr>
              <w:spacing w:after="0" w:line="240" w:lineRule="auto"/>
              <w:jc w:val="center"/>
              <w:rPr>
                <w:rFonts w:eastAsia="Times New Roman"/>
                <w:sz w:val="18"/>
                <w:szCs w:val="18"/>
              </w:rPr>
            </w:pPr>
          </w:p>
        </w:tc>
        <w:tc>
          <w:tcPr>
            <w:tcW w:w="990" w:type="dxa"/>
          </w:tcPr>
          <w:p w:rsidR="00C359D9" w:rsidRPr="00D32130" w:rsidRDefault="00C359D9" w:rsidP="00A80A88">
            <w:pPr>
              <w:spacing w:after="0" w:line="240" w:lineRule="auto"/>
              <w:jc w:val="center"/>
              <w:rPr>
                <w:rFonts w:eastAsia="Times New Roman"/>
                <w:sz w:val="18"/>
                <w:szCs w:val="18"/>
              </w:rPr>
            </w:pPr>
          </w:p>
        </w:tc>
        <w:tc>
          <w:tcPr>
            <w:tcW w:w="900"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c>
          <w:tcPr>
            <w:tcW w:w="900"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c>
          <w:tcPr>
            <w:tcW w:w="1379"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r>
      <w:tr w:rsidR="00C359D9" w:rsidRPr="00D32130" w:rsidTr="00A80A88">
        <w:trPr>
          <w:trHeight w:val="161"/>
          <w:jc w:val="center"/>
        </w:trPr>
        <w:tc>
          <w:tcPr>
            <w:tcW w:w="1340" w:type="dxa"/>
            <w:shd w:val="clear" w:color="auto" w:fill="auto"/>
            <w:noWrap/>
            <w:vAlign w:val="center"/>
          </w:tcPr>
          <w:p w:rsidR="00C359D9" w:rsidRPr="00D32130" w:rsidRDefault="00C359D9" w:rsidP="00A80A88">
            <w:pPr>
              <w:spacing w:after="0" w:line="240" w:lineRule="auto"/>
              <w:rPr>
                <w:rFonts w:eastAsia="Times New Roman"/>
                <w:sz w:val="18"/>
                <w:szCs w:val="18"/>
              </w:rPr>
            </w:pPr>
            <w:r>
              <w:rPr>
                <w:rFonts w:eastAsia="Times New Roman"/>
                <w:sz w:val="18"/>
                <w:szCs w:val="18"/>
              </w:rPr>
              <w:t>Berkshire Hath</w:t>
            </w:r>
          </w:p>
        </w:tc>
        <w:tc>
          <w:tcPr>
            <w:tcW w:w="810" w:type="dxa"/>
            <w:shd w:val="clear" w:color="auto" w:fill="auto"/>
            <w:noWrap/>
            <w:vAlign w:val="center"/>
          </w:tcPr>
          <w:p w:rsidR="00C359D9" w:rsidRPr="00D32130" w:rsidRDefault="00C359D9" w:rsidP="00A80A88">
            <w:pPr>
              <w:spacing w:after="0" w:line="240" w:lineRule="auto"/>
              <w:rPr>
                <w:rFonts w:eastAsia="Times New Roman"/>
                <w:sz w:val="18"/>
                <w:szCs w:val="18"/>
              </w:rPr>
            </w:pPr>
            <w:r>
              <w:rPr>
                <w:rFonts w:eastAsia="Times New Roman"/>
                <w:sz w:val="18"/>
                <w:szCs w:val="18"/>
              </w:rPr>
              <w:t>BRK.B</w:t>
            </w:r>
          </w:p>
        </w:tc>
        <w:tc>
          <w:tcPr>
            <w:tcW w:w="900" w:type="dxa"/>
            <w:shd w:val="clear" w:color="auto" w:fill="auto"/>
            <w:noWrap/>
            <w:vAlign w:val="center"/>
          </w:tcPr>
          <w:p w:rsidR="00C359D9" w:rsidRPr="00D32130" w:rsidRDefault="00C359D9" w:rsidP="00A80A88">
            <w:pPr>
              <w:spacing w:after="0" w:line="240" w:lineRule="auto"/>
              <w:rPr>
                <w:rFonts w:eastAsia="Times New Roman"/>
                <w:sz w:val="18"/>
                <w:szCs w:val="18"/>
              </w:rPr>
            </w:pPr>
            <w:r>
              <w:rPr>
                <w:rFonts w:eastAsia="Times New Roman"/>
                <w:sz w:val="18"/>
                <w:szCs w:val="18"/>
              </w:rPr>
              <w:t>Jackie</w:t>
            </w:r>
          </w:p>
        </w:tc>
        <w:tc>
          <w:tcPr>
            <w:tcW w:w="2700" w:type="dxa"/>
            <w:gridSpan w:val="2"/>
          </w:tcPr>
          <w:p w:rsidR="00C359D9" w:rsidRPr="00D32130" w:rsidRDefault="00C359D9" w:rsidP="00A80A88">
            <w:pPr>
              <w:spacing w:after="0" w:line="240" w:lineRule="auto"/>
              <w:jc w:val="center"/>
              <w:rPr>
                <w:rFonts w:eastAsia="Times New Roman"/>
                <w:sz w:val="18"/>
                <w:szCs w:val="18"/>
              </w:rPr>
            </w:pPr>
            <w:r>
              <w:rPr>
                <w:rFonts w:eastAsia="Times New Roman"/>
                <w:sz w:val="18"/>
                <w:szCs w:val="18"/>
              </w:rPr>
              <w:t>Limit Order removed in June</w:t>
            </w:r>
          </w:p>
        </w:tc>
        <w:tc>
          <w:tcPr>
            <w:tcW w:w="990" w:type="dxa"/>
            <w:vAlign w:val="bottom"/>
          </w:tcPr>
          <w:p w:rsidR="00C359D9" w:rsidRPr="00D32130" w:rsidRDefault="00C359D9" w:rsidP="00A80A88">
            <w:pPr>
              <w:spacing w:after="0" w:line="240" w:lineRule="auto"/>
              <w:jc w:val="center"/>
              <w:rPr>
                <w:rFonts w:eastAsia="Times New Roman"/>
                <w:sz w:val="18"/>
                <w:szCs w:val="18"/>
              </w:rPr>
            </w:pPr>
          </w:p>
        </w:tc>
        <w:tc>
          <w:tcPr>
            <w:tcW w:w="990" w:type="dxa"/>
          </w:tcPr>
          <w:p w:rsidR="00C359D9" w:rsidRPr="00D32130" w:rsidRDefault="00C359D9" w:rsidP="00A80A88">
            <w:pPr>
              <w:spacing w:after="0" w:line="240" w:lineRule="auto"/>
              <w:jc w:val="center"/>
              <w:rPr>
                <w:rFonts w:eastAsia="Times New Roman"/>
                <w:sz w:val="18"/>
                <w:szCs w:val="18"/>
              </w:rPr>
            </w:pPr>
          </w:p>
        </w:tc>
        <w:tc>
          <w:tcPr>
            <w:tcW w:w="900"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c>
          <w:tcPr>
            <w:tcW w:w="900"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c>
          <w:tcPr>
            <w:tcW w:w="1379" w:type="dxa"/>
            <w:shd w:val="clear" w:color="auto" w:fill="auto"/>
            <w:noWrap/>
            <w:vAlign w:val="center"/>
          </w:tcPr>
          <w:p w:rsidR="00C359D9" w:rsidRPr="00D32130" w:rsidRDefault="00C359D9" w:rsidP="00A80A88">
            <w:pPr>
              <w:spacing w:after="0" w:line="240" w:lineRule="auto"/>
              <w:jc w:val="center"/>
              <w:rPr>
                <w:rFonts w:eastAsia="Times New Roman"/>
                <w:sz w:val="18"/>
                <w:szCs w:val="18"/>
              </w:rPr>
            </w:pPr>
          </w:p>
        </w:tc>
      </w:tr>
    </w:tbl>
    <w:p w:rsidR="00783239" w:rsidRDefault="00783239" w:rsidP="00783239">
      <w:pPr>
        <w:spacing w:after="0"/>
        <w:jc w:val="center"/>
        <w:rPr>
          <w:rFonts w:eastAsia="Times New Roman"/>
          <w:b/>
          <w:sz w:val="18"/>
          <w:szCs w:val="18"/>
        </w:rPr>
      </w:pPr>
    </w:p>
    <w:p w:rsidR="0016067A" w:rsidRPr="004218A8" w:rsidRDefault="00C21012" w:rsidP="00C21012">
      <w:pPr>
        <w:pStyle w:val="ListParagraph"/>
        <w:widowControl w:val="0"/>
        <w:autoSpaceDE w:val="0"/>
        <w:autoSpaceDN w:val="0"/>
        <w:adjustRightInd w:val="0"/>
        <w:spacing w:after="0" w:line="240" w:lineRule="auto"/>
        <w:ind w:left="0"/>
        <w:rPr>
          <w:bCs/>
          <w:u w:val="single"/>
          <w:lang w:val="en"/>
        </w:rPr>
      </w:pPr>
      <w:r w:rsidRPr="00C21012">
        <w:rPr>
          <w:b/>
          <w:bCs/>
          <w:u w:val="single"/>
          <w:lang w:val="en"/>
        </w:rPr>
        <w:t>Portfolio Analysis:</w:t>
      </w:r>
      <w:r w:rsidR="004218A8">
        <w:rPr>
          <w:b/>
          <w:bCs/>
          <w:lang w:val="en"/>
        </w:rPr>
        <w:t xml:space="preserve"> </w:t>
      </w:r>
      <w:r w:rsidR="004218A8" w:rsidRPr="004218A8">
        <w:rPr>
          <w:bCs/>
          <w:lang w:val="en"/>
        </w:rPr>
        <w:t xml:space="preserve">Marty prepared </w:t>
      </w:r>
      <w:r w:rsidR="004218A8" w:rsidRPr="008657CA">
        <w:rPr>
          <w:bCs/>
          <w:lang w:val="en"/>
        </w:rPr>
        <w:t>an</w:t>
      </w:r>
      <w:r w:rsidR="004218A8" w:rsidRPr="008657CA">
        <w:rPr>
          <w:b/>
          <w:bCs/>
          <w:lang w:val="en"/>
        </w:rPr>
        <w:t xml:space="preserve"> </w:t>
      </w:r>
      <w:r w:rsidR="004218A8" w:rsidRPr="004218A8">
        <w:rPr>
          <w:bCs/>
          <w:lang w:val="en"/>
        </w:rPr>
        <w:t>extensive report on the club’s portfolio</w:t>
      </w:r>
      <w:r w:rsidR="004218A8">
        <w:rPr>
          <w:bCs/>
          <w:lang w:val="en"/>
        </w:rPr>
        <w:t xml:space="preserve">, including data on each of the holdings. </w:t>
      </w:r>
      <w:r w:rsidR="00AF707C">
        <w:rPr>
          <w:bCs/>
          <w:lang w:val="en"/>
        </w:rPr>
        <w:t>Snapshots of his analysis appear at the end of this report. CinMIC is overweight in medium and large companies (based on growth rate) and light in smaller, faster growing companies. Discussion topics included Nicholson Triple Plays, percentage of a stock holding in the portfolio, MI PAR rating, and total return vs. company size.</w:t>
      </w:r>
    </w:p>
    <w:p w:rsidR="00C21012" w:rsidRPr="00C21012" w:rsidRDefault="00C21012" w:rsidP="00C21012">
      <w:pPr>
        <w:pStyle w:val="ListParagraph"/>
        <w:widowControl w:val="0"/>
        <w:autoSpaceDE w:val="0"/>
        <w:autoSpaceDN w:val="0"/>
        <w:adjustRightInd w:val="0"/>
        <w:spacing w:after="0" w:line="240" w:lineRule="auto"/>
        <w:ind w:left="0"/>
        <w:rPr>
          <w:bCs/>
          <w:u w:val="single"/>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lastRenderedPageBreak/>
        <w:t>Future Education Schedule:</w:t>
      </w:r>
    </w:p>
    <w:tbl>
      <w:tblPr>
        <w:tblW w:w="0" w:type="auto"/>
        <w:tblInd w:w="216" w:type="dxa"/>
        <w:tblLayout w:type="fixed"/>
        <w:tblLook w:val="0000" w:firstRow="0" w:lastRow="0" w:firstColumn="0" w:lastColumn="0" w:noHBand="0" w:noVBand="0"/>
      </w:tblPr>
      <w:tblGrid>
        <w:gridCol w:w="1664"/>
        <w:gridCol w:w="3337"/>
        <w:gridCol w:w="4680"/>
      </w:tblGrid>
      <w:tr w:rsidR="0016067A"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16067A" w:rsidRDefault="0016067A" w:rsidP="0016067A">
            <w:pPr>
              <w:widowControl w:val="0"/>
              <w:autoSpaceDE w:val="0"/>
              <w:autoSpaceDN w:val="0"/>
              <w:adjustRightInd w:val="0"/>
              <w:spacing w:after="0" w:line="240" w:lineRule="auto"/>
              <w:rPr>
                <w:lang w:val="en"/>
              </w:rPr>
            </w:pPr>
            <w:r>
              <w:rPr>
                <w:lang w:val="en"/>
              </w:rPr>
              <w:t>August</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6067A" w:rsidRPr="000602F2" w:rsidRDefault="0016067A" w:rsidP="0016067A">
            <w:pPr>
              <w:widowControl w:val="0"/>
              <w:autoSpaceDE w:val="0"/>
              <w:autoSpaceDN w:val="0"/>
              <w:adjustRightInd w:val="0"/>
              <w:spacing w:after="0" w:line="240" w:lineRule="auto"/>
              <w:rPr>
                <w:lang w:val="en"/>
              </w:rPr>
            </w:pPr>
            <w:r>
              <w:rPr>
                <w:lang w:val="en"/>
              </w:rPr>
              <w:t>Gregg Hopkins</w:t>
            </w: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16067A" w:rsidRPr="000602F2" w:rsidRDefault="0016067A" w:rsidP="0016067A">
            <w:pPr>
              <w:widowControl w:val="0"/>
              <w:autoSpaceDE w:val="0"/>
              <w:autoSpaceDN w:val="0"/>
              <w:adjustRightInd w:val="0"/>
              <w:spacing w:after="0" w:line="240" w:lineRule="auto"/>
              <w:rPr>
                <w:lang w:val="en"/>
              </w:rPr>
            </w:pPr>
            <w:proofErr w:type="spellStart"/>
            <w:r>
              <w:rPr>
                <w:lang w:val="en"/>
              </w:rPr>
              <w:t>tbd</w:t>
            </w:r>
            <w:proofErr w:type="spellEnd"/>
            <w:r>
              <w:rPr>
                <w:lang w:val="en"/>
              </w:rPr>
              <w:t xml:space="preserve"> </w:t>
            </w:r>
          </w:p>
        </w:tc>
      </w:tr>
      <w:tr w:rsidR="0016067A" w:rsidRPr="000602F2" w:rsidTr="00417B27">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16067A" w:rsidRDefault="00AF707C" w:rsidP="0016067A">
            <w:pPr>
              <w:widowControl w:val="0"/>
              <w:autoSpaceDE w:val="0"/>
              <w:autoSpaceDN w:val="0"/>
              <w:adjustRightInd w:val="0"/>
              <w:spacing w:after="0" w:line="240" w:lineRule="auto"/>
              <w:rPr>
                <w:lang w:val="en"/>
              </w:rPr>
            </w:pPr>
            <w:r>
              <w:rPr>
                <w:lang w:val="en"/>
              </w:rPr>
              <w:t>September</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6067A" w:rsidRPr="000602F2" w:rsidRDefault="00AF707C" w:rsidP="0016067A">
            <w:pPr>
              <w:widowControl w:val="0"/>
              <w:autoSpaceDE w:val="0"/>
              <w:autoSpaceDN w:val="0"/>
              <w:adjustRightInd w:val="0"/>
              <w:spacing w:after="0" w:line="240" w:lineRule="auto"/>
              <w:rPr>
                <w:lang w:val="en"/>
              </w:rPr>
            </w:pPr>
            <w:r>
              <w:rPr>
                <w:lang w:val="en"/>
              </w:rPr>
              <w:t>Latisha Douglas</w:t>
            </w:r>
          </w:p>
        </w:tc>
        <w:tc>
          <w:tcPr>
            <w:tcW w:w="4680" w:type="dxa"/>
            <w:tcBorders>
              <w:top w:val="single" w:sz="2" w:space="0" w:color="000000"/>
              <w:left w:val="single" w:sz="2" w:space="0" w:color="000000"/>
              <w:bottom w:val="single" w:sz="2" w:space="0" w:color="000000"/>
              <w:right w:val="single" w:sz="2" w:space="0" w:color="000000"/>
            </w:tcBorders>
            <w:shd w:val="clear" w:color="000000" w:fill="FFFFFF"/>
          </w:tcPr>
          <w:p w:rsidR="0016067A" w:rsidRPr="000602F2" w:rsidRDefault="00AF707C" w:rsidP="0016067A">
            <w:pPr>
              <w:widowControl w:val="0"/>
              <w:autoSpaceDE w:val="0"/>
              <w:autoSpaceDN w:val="0"/>
              <w:adjustRightInd w:val="0"/>
              <w:spacing w:after="0" w:line="240" w:lineRule="auto"/>
              <w:rPr>
                <w:lang w:val="en"/>
              </w:rPr>
            </w:pPr>
            <w:proofErr w:type="spellStart"/>
            <w:r>
              <w:rPr>
                <w:lang w:val="en"/>
              </w:rPr>
              <w:t>tbd</w:t>
            </w:r>
            <w:proofErr w:type="spellEnd"/>
          </w:p>
        </w:tc>
      </w:tr>
    </w:tbl>
    <w:p w:rsidR="00972EA1" w:rsidRDefault="00972EA1" w:rsidP="000B566B">
      <w:pPr>
        <w:widowControl w:val="0"/>
        <w:autoSpaceDE w:val="0"/>
        <w:autoSpaceDN w:val="0"/>
        <w:adjustRightInd w:val="0"/>
        <w:spacing w:after="0" w:line="240" w:lineRule="auto"/>
        <w:rPr>
          <w:b/>
          <w:bCs/>
          <w:u w:val="single"/>
          <w:lang w:val="en"/>
        </w:rPr>
      </w:pPr>
    </w:p>
    <w:p w:rsidR="008657CA" w:rsidRPr="008657CA" w:rsidRDefault="008657CA">
      <w:pPr>
        <w:rPr>
          <w:bCs/>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p>
    <w:tbl>
      <w:tblPr>
        <w:tblW w:w="0" w:type="auto"/>
        <w:tblInd w:w="216" w:type="dxa"/>
        <w:tblLayout w:type="fixed"/>
        <w:tblLook w:val="0000" w:firstRow="0" w:lastRow="0" w:firstColumn="0" w:lastColumn="0" w:noHBand="0" w:noVBand="0"/>
      </w:tblPr>
      <w:tblGrid>
        <w:gridCol w:w="1662"/>
        <w:gridCol w:w="3990"/>
        <w:gridCol w:w="2662"/>
      </w:tblGrid>
      <w:tr w:rsidR="0016067A"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16067A" w:rsidRDefault="0016067A" w:rsidP="0016067A">
            <w:pPr>
              <w:widowControl w:val="0"/>
              <w:autoSpaceDE w:val="0"/>
              <w:autoSpaceDN w:val="0"/>
              <w:adjustRightInd w:val="0"/>
              <w:spacing w:after="0" w:line="240" w:lineRule="auto"/>
              <w:rPr>
                <w:lang w:val="en"/>
              </w:rPr>
            </w:pPr>
            <w:r>
              <w:rPr>
                <w:lang w:val="en"/>
              </w:rPr>
              <w:t>August</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16067A" w:rsidRDefault="0016067A" w:rsidP="0016067A">
            <w:pPr>
              <w:widowControl w:val="0"/>
              <w:autoSpaceDE w:val="0"/>
              <w:autoSpaceDN w:val="0"/>
              <w:adjustRightInd w:val="0"/>
              <w:spacing w:after="0" w:line="240" w:lineRule="auto"/>
              <w:rPr>
                <w:lang w:val="en"/>
              </w:rPr>
            </w:pPr>
            <w:r>
              <w:rPr>
                <w:lang w:val="en"/>
              </w:rPr>
              <w:t xml:space="preserve">Larry </w:t>
            </w:r>
            <w:proofErr w:type="spellStart"/>
            <w:r>
              <w:rPr>
                <w:lang w:val="en"/>
              </w:rPr>
              <w:t>Averbeck</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16067A" w:rsidRDefault="0016067A" w:rsidP="0016067A">
            <w:pPr>
              <w:widowControl w:val="0"/>
              <w:autoSpaceDE w:val="0"/>
              <w:autoSpaceDN w:val="0"/>
              <w:adjustRightInd w:val="0"/>
              <w:spacing w:after="0" w:line="240" w:lineRule="auto"/>
              <w:rPr>
                <w:lang w:val="en"/>
              </w:rPr>
            </w:pPr>
            <w:proofErr w:type="spellStart"/>
            <w:r>
              <w:rPr>
                <w:lang w:val="en"/>
              </w:rPr>
              <w:t>tbd</w:t>
            </w:r>
            <w:proofErr w:type="spellEnd"/>
          </w:p>
        </w:tc>
      </w:tr>
      <w:tr w:rsidR="0016067A" w:rsidRPr="000602F2" w:rsidTr="00162F92">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16067A" w:rsidRDefault="00AF707C" w:rsidP="0016067A">
            <w:pPr>
              <w:widowControl w:val="0"/>
              <w:autoSpaceDE w:val="0"/>
              <w:autoSpaceDN w:val="0"/>
              <w:adjustRightInd w:val="0"/>
              <w:spacing w:after="0" w:line="240" w:lineRule="auto"/>
              <w:rPr>
                <w:lang w:val="en"/>
              </w:rPr>
            </w:pPr>
            <w:r>
              <w:rPr>
                <w:lang w:val="en"/>
              </w:rPr>
              <w:t>September</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16067A" w:rsidRDefault="00AF707C" w:rsidP="0016067A">
            <w:pPr>
              <w:widowControl w:val="0"/>
              <w:autoSpaceDE w:val="0"/>
              <w:autoSpaceDN w:val="0"/>
              <w:adjustRightInd w:val="0"/>
              <w:spacing w:after="0" w:line="240" w:lineRule="auto"/>
              <w:rPr>
                <w:lang w:val="en"/>
              </w:rPr>
            </w:pPr>
            <w:r>
              <w:rPr>
                <w:lang w:val="en"/>
              </w:rPr>
              <w:t xml:space="preserve">Gerry </w:t>
            </w:r>
            <w:proofErr w:type="spellStart"/>
            <w:r>
              <w:rPr>
                <w:lang w:val="en"/>
              </w:rPr>
              <w:t>Gevert</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16067A" w:rsidRDefault="00AF707C" w:rsidP="0016067A">
            <w:pPr>
              <w:widowControl w:val="0"/>
              <w:autoSpaceDE w:val="0"/>
              <w:autoSpaceDN w:val="0"/>
              <w:adjustRightInd w:val="0"/>
              <w:spacing w:after="0" w:line="240" w:lineRule="auto"/>
              <w:rPr>
                <w:lang w:val="en"/>
              </w:rPr>
            </w:pPr>
            <w:proofErr w:type="spellStart"/>
            <w:r>
              <w:rPr>
                <w:lang w:val="en"/>
              </w:rPr>
              <w:t>tbd</w:t>
            </w:r>
            <w:proofErr w:type="spellEnd"/>
          </w:p>
        </w:tc>
      </w:tr>
    </w:tbl>
    <w:p w:rsidR="00440BE4" w:rsidRPr="000602F2" w:rsidRDefault="00440BE4" w:rsidP="000B566B">
      <w:pPr>
        <w:widowControl w:val="0"/>
        <w:autoSpaceDE w:val="0"/>
        <w:autoSpaceDN w:val="0"/>
        <w:adjustRightInd w:val="0"/>
        <w:spacing w:after="0" w:line="240" w:lineRule="auto"/>
        <w:rPr>
          <w:lang w:val="en"/>
        </w:rPr>
      </w:pPr>
    </w:p>
    <w:p w:rsidR="00442140" w:rsidRDefault="00442140" w:rsidP="00442140">
      <w:pPr>
        <w:widowControl w:val="0"/>
        <w:autoSpaceDE w:val="0"/>
        <w:autoSpaceDN w:val="0"/>
        <w:adjustRightInd w:val="0"/>
        <w:spacing w:after="0" w:line="240" w:lineRule="auto"/>
        <w:rPr>
          <w:bCs/>
          <w:lang w:val="en"/>
        </w:rPr>
      </w:pPr>
      <w:r w:rsidRPr="00757409">
        <w:rPr>
          <w:b/>
          <w:bCs/>
          <w:u w:val="single"/>
          <w:lang w:val="en"/>
        </w:rPr>
        <w:t>Buy/Sell Decisions:</w:t>
      </w:r>
      <w:r w:rsidR="00533BC2" w:rsidRPr="00533BC2">
        <w:rPr>
          <w:b/>
          <w:bCs/>
          <w:lang w:val="en"/>
        </w:rPr>
        <w:t xml:space="preserve"> </w:t>
      </w:r>
      <w:r w:rsidR="00533BC2">
        <w:rPr>
          <w:bCs/>
          <w:lang w:val="en"/>
        </w:rPr>
        <w:t>(</w:t>
      </w:r>
      <w:r w:rsidR="00417B27">
        <w:rPr>
          <w:bCs/>
          <w:lang w:val="en"/>
        </w:rPr>
        <w:t xml:space="preserve">motion/second: action, type, </w:t>
      </w:r>
      <w:r w:rsidR="00533BC2">
        <w:rPr>
          <w:bCs/>
          <w:lang w:val="en"/>
        </w:rPr>
        <w:t>yes/no/abstain)</w:t>
      </w:r>
    </w:p>
    <w:p w:rsidR="0016067A" w:rsidRDefault="00C359D9" w:rsidP="00AF707C">
      <w:pPr>
        <w:pStyle w:val="ListParagraph"/>
        <w:numPr>
          <w:ilvl w:val="0"/>
          <w:numId w:val="44"/>
        </w:numPr>
        <w:spacing w:after="0"/>
      </w:pPr>
      <w:r>
        <w:t>Rich/Gerry: sell the 6/22/15 lot of 50sh of FAST at window to raise cash, 16/0/0</w:t>
      </w:r>
    </w:p>
    <w:p w:rsidR="00C359D9" w:rsidRDefault="00C359D9" w:rsidP="00AF707C">
      <w:pPr>
        <w:pStyle w:val="ListParagraph"/>
        <w:numPr>
          <w:ilvl w:val="0"/>
          <w:numId w:val="44"/>
        </w:numPr>
        <w:spacing w:after="0"/>
      </w:pPr>
      <w:r>
        <w:t>Craig/Kate: buy 25sh of CTSH at window, 2/14/0, stock price is up recently</w:t>
      </w:r>
    </w:p>
    <w:p w:rsidR="0016067A" w:rsidRDefault="00C359D9" w:rsidP="00186C7F">
      <w:pPr>
        <w:pStyle w:val="ListParagraph"/>
        <w:numPr>
          <w:ilvl w:val="0"/>
          <w:numId w:val="44"/>
        </w:numPr>
        <w:spacing w:after="0"/>
      </w:pPr>
      <w:r>
        <w:t>Gerry/Dene: buy 40sh of SBUX at window, 16/0/0</w:t>
      </w:r>
    </w:p>
    <w:p w:rsidR="00DF0306" w:rsidRDefault="003804F7" w:rsidP="00DF0306">
      <w:pPr>
        <w:spacing w:after="0"/>
      </w:pPr>
      <w:r>
        <w:t>N</w:t>
      </w:r>
      <w:r w:rsidR="00C359D9">
        <w:t>ote: use “chat box” for</w:t>
      </w:r>
      <w:r w:rsidR="00DF0306">
        <w:t xml:space="preserve"> we</w:t>
      </w:r>
      <w:r w:rsidR="00C359D9">
        <w:t>b votes.</w:t>
      </w:r>
    </w:p>
    <w:p w:rsidR="0001642D" w:rsidRDefault="0001642D" w:rsidP="00442140">
      <w:pPr>
        <w:widowControl w:val="0"/>
        <w:autoSpaceDE w:val="0"/>
        <w:autoSpaceDN w:val="0"/>
        <w:adjustRightInd w:val="0"/>
        <w:spacing w:after="0" w:line="240" w:lineRule="auto"/>
        <w:rPr>
          <w:lang w:val="en"/>
        </w:rPr>
      </w:pPr>
    </w:p>
    <w:p w:rsidR="004F6832" w:rsidRPr="008E1B96" w:rsidRDefault="00440BE4" w:rsidP="000B566B">
      <w:pPr>
        <w:widowControl w:val="0"/>
        <w:autoSpaceDE w:val="0"/>
        <w:autoSpaceDN w:val="0"/>
        <w:adjustRightInd w:val="0"/>
        <w:spacing w:after="0" w:line="240" w:lineRule="auto"/>
        <w:rPr>
          <w:bCs/>
          <w:lang w:val="en"/>
        </w:rPr>
      </w:pPr>
      <w:r w:rsidRPr="00757409">
        <w:rPr>
          <w:b/>
          <w:bCs/>
          <w:u w:val="single"/>
          <w:lang w:val="en"/>
        </w:rPr>
        <w:t>Next Meeting</w:t>
      </w:r>
      <w:r w:rsidRPr="000602F2">
        <w:rPr>
          <w:b/>
          <w:bCs/>
          <w:lang w:val="en"/>
        </w:rPr>
        <w:t>:</w:t>
      </w:r>
      <w:r w:rsidRPr="008E1B96">
        <w:rPr>
          <w:bCs/>
          <w:lang w:val="en"/>
        </w:rPr>
        <w:t xml:space="preserve"> </w:t>
      </w:r>
      <w:r w:rsidR="0016067A">
        <w:rPr>
          <w:bCs/>
          <w:lang w:val="en"/>
        </w:rPr>
        <w:t xml:space="preserve">mid-month study group: </w:t>
      </w:r>
      <w:r w:rsidR="00C359D9">
        <w:rPr>
          <w:bCs/>
          <w:lang w:val="en"/>
        </w:rPr>
        <w:t>Aug 5 and Sep 2</w:t>
      </w:r>
      <w:r w:rsidR="008E1B96">
        <w:rPr>
          <w:bCs/>
          <w:lang w:val="en"/>
        </w:rPr>
        <w:t xml:space="preserve">, boardroom; regular meeting: </w:t>
      </w:r>
      <w:r w:rsidR="00C359D9">
        <w:rPr>
          <w:bCs/>
          <w:lang w:val="en"/>
        </w:rPr>
        <w:t>Aug 19, Room C</w:t>
      </w:r>
      <w:r w:rsidR="00A6186D">
        <w:rPr>
          <w:bCs/>
          <w:lang w:val="en"/>
        </w:rPr>
        <w:t xml:space="preserve">, </w:t>
      </w:r>
      <w:r w:rsidR="00C359D9">
        <w:rPr>
          <w:bCs/>
          <w:lang w:val="en"/>
        </w:rPr>
        <w:t xml:space="preserve">Sep 16, </w:t>
      </w:r>
      <w:r w:rsidR="00A6186D">
        <w:rPr>
          <w:bCs/>
          <w:lang w:val="en"/>
        </w:rPr>
        <w:t>boardroom</w:t>
      </w:r>
    </w:p>
    <w:p w:rsidR="004F6832" w:rsidRPr="000602F2" w:rsidRDefault="004F6832" w:rsidP="000B566B">
      <w:pPr>
        <w:widowControl w:val="0"/>
        <w:autoSpaceDE w:val="0"/>
        <w:autoSpaceDN w:val="0"/>
        <w:adjustRightInd w:val="0"/>
        <w:spacing w:after="0" w:line="240" w:lineRule="auto"/>
        <w:rPr>
          <w:b/>
          <w:bCs/>
          <w:lang w:val="en"/>
        </w:rPr>
      </w:pPr>
    </w:p>
    <w:p w:rsidR="00A53EB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146B28">
        <w:rPr>
          <w:bCs/>
          <w:lang w:val="en"/>
        </w:rPr>
        <w:t xml:space="preserve">Dene </w:t>
      </w:r>
      <w:r w:rsidR="003F27A1">
        <w:rPr>
          <w:bCs/>
          <w:lang w:val="en"/>
        </w:rPr>
        <w:t>at</w:t>
      </w:r>
      <w:r w:rsidR="00533BC2">
        <w:rPr>
          <w:bCs/>
          <w:lang w:val="en"/>
        </w:rPr>
        <w:t xml:space="preserve"> </w:t>
      </w:r>
      <w:r w:rsidR="00E364A2">
        <w:rPr>
          <w:bCs/>
          <w:lang w:val="en"/>
        </w:rPr>
        <w:t>11:</w:t>
      </w:r>
      <w:r w:rsidR="00C359D9">
        <w:rPr>
          <w:bCs/>
          <w:lang w:val="en"/>
        </w:rPr>
        <w:t>47</w:t>
      </w:r>
      <w:r w:rsidR="009517C5">
        <w:rPr>
          <w:bCs/>
          <w:lang w:val="en"/>
        </w:rPr>
        <w:t>a</w:t>
      </w:r>
    </w:p>
    <w:p w:rsidR="00CA0754" w:rsidRDefault="00CA0754" w:rsidP="000B566B">
      <w:pPr>
        <w:widowControl w:val="0"/>
        <w:autoSpaceDE w:val="0"/>
        <w:autoSpaceDN w:val="0"/>
        <w:adjustRightInd w:val="0"/>
        <w:spacing w:after="0" w:line="240" w:lineRule="auto"/>
        <w:rPr>
          <w:lang w:val="en"/>
        </w:rPr>
      </w:pPr>
    </w:p>
    <w:p w:rsidR="00E77264"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D66C54">
        <w:rPr>
          <w:lang w:val="en"/>
        </w:rPr>
        <w:t xml:space="preserve"> Rich Alden, recording partner.</w:t>
      </w:r>
    </w:p>
    <w:p w:rsidR="00AF707C" w:rsidRDefault="00AF707C">
      <w:pPr>
        <w:rPr>
          <w:lang w:val="en"/>
        </w:rPr>
      </w:pPr>
      <w:r>
        <w:rPr>
          <w:lang w:val="en"/>
        </w:rPr>
        <w:br w:type="page"/>
      </w:r>
    </w:p>
    <w:p w:rsidR="004D7ABE" w:rsidRDefault="00AF707C" w:rsidP="00B24F26">
      <w:pPr>
        <w:rPr>
          <w:lang w:val="en"/>
        </w:rPr>
      </w:pPr>
      <w:r w:rsidRPr="00AF707C">
        <w:rPr>
          <w:noProof/>
        </w:rPr>
        <w:lastRenderedPageBreak/>
        <w:drawing>
          <wp:inline distT="0" distB="0" distL="0" distR="0" wp14:anchorId="5BC1C945" wp14:editId="345335E8">
            <wp:extent cx="6600209" cy="4614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6690" cy="4632963"/>
                    </a:xfrm>
                    <a:prstGeom prst="rect">
                      <a:avLst/>
                    </a:prstGeom>
                    <a:noFill/>
                    <a:ln>
                      <a:noFill/>
                    </a:ln>
                  </pic:spPr>
                </pic:pic>
              </a:graphicData>
            </a:graphic>
          </wp:inline>
        </w:drawing>
      </w:r>
    </w:p>
    <w:p w:rsidR="00AF707C" w:rsidRPr="000602F2" w:rsidRDefault="00AF707C" w:rsidP="00B24F26">
      <w:pPr>
        <w:rPr>
          <w:lang w:val="en"/>
        </w:rPr>
      </w:pPr>
      <w:r w:rsidRPr="00AF707C">
        <w:rPr>
          <w:noProof/>
        </w:rPr>
        <w:drawing>
          <wp:inline distT="0" distB="0" distL="0" distR="0">
            <wp:extent cx="6858000" cy="3608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608405"/>
                    </a:xfrm>
                    <a:prstGeom prst="rect">
                      <a:avLst/>
                    </a:prstGeom>
                    <a:noFill/>
                    <a:ln>
                      <a:noFill/>
                    </a:ln>
                  </pic:spPr>
                </pic:pic>
              </a:graphicData>
            </a:graphic>
          </wp:inline>
        </w:drawing>
      </w:r>
    </w:p>
    <w:sectPr w:rsidR="00AF707C" w:rsidRPr="000602F2" w:rsidSect="00B42F2E">
      <w:footerReference w:type="default" r:id="rId10"/>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23" w:rsidRDefault="00594C23" w:rsidP="002A4572">
      <w:pPr>
        <w:spacing w:after="0" w:line="240" w:lineRule="auto"/>
      </w:pPr>
      <w:r>
        <w:separator/>
      </w:r>
    </w:p>
  </w:endnote>
  <w:endnote w:type="continuationSeparator" w:id="0">
    <w:p w:rsidR="00594C23" w:rsidRDefault="00594C23"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2F9" w:rsidRDefault="006452F9">
    <w:pPr>
      <w:pStyle w:val="Footer"/>
      <w:jc w:val="right"/>
    </w:pPr>
    <w:r>
      <w:fldChar w:fldCharType="begin"/>
    </w:r>
    <w:r>
      <w:instrText xml:space="preserve"> PAGE   \* MERGEFORMAT </w:instrText>
    </w:r>
    <w:r>
      <w:fldChar w:fldCharType="separate"/>
    </w:r>
    <w:r w:rsidR="00B80933">
      <w:rPr>
        <w:noProof/>
      </w:rPr>
      <w:t>4</w:t>
    </w:r>
    <w:r>
      <w:fldChar w:fldCharType="end"/>
    </w:r>
  </w:p>
  <w:p w:rsidR="006452F9" w:rsidRDefault="00645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23" w:rsidRDefault="00594C23" w:rsidP="002A4572">
      <w:pPr>
        <w:spacing w:after="0" w:line="240" w:lineRule="auto"/>
      </w:pPr>
      <w:r>
        <w:separator/>
      </w:r>
    </w:p>
  </w:footnote>
  <w:footnote w:type="continuationSeparator" w:id="0">
    <w:p w:rsidR="00594C23" w:rsidRDefault="00594C23"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3BD"/>
    <w:multiLevelType w:val="hybridMultilevel"/>
    <w:tmpl w:val="A746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E2373"/>
    <w:multiLevelType w:val="hybridMultilevel"/>
    <w:tmpl w:val="E8FA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4D545C"/>
    <w:multiLevelType w:val="hybridMultilevel"/>
    <w:tmpl w:val="1BF2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75831"/>
    <w:multiLevelType w:val="hybridMultilevel"/>
    <w:tmpl w:val="1ECE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56544"/>
    <w:multiLevelType w:val="hybridMultilevel"/>
    <w:tmpl w:val="7A58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37CC7"/>
    <w:multiLevelType w:val="hybridMultilevel"/>
    <w:tmpl w:val="5CFE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F6D68"/>
    <w:multiLevelType w:val="hybridMultilevel"/>
    <w:tmpl w:val="0F58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26657"/>
    <w:multiLevelType w:val="hybridMultilevel"/>
    <w:tmpl w:val="B9E4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B421A"/>
    <w:multiLevelType w:val="hybridMultilevel"/>
    <w:tmpl w:val="4E68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82286"/>
    <w:multiLevelType w:val="hybridMultilevel"/>
    <w:tmpl w:val="5B9E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03B9C"/>
    <w:multiLevelType w:val="hybridMultilevel"/>
    <w:tmpl w:val="FA04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52B40"/>
    <w:multiLevelType w:val="hybridMultilevel"/>
    <w:tmpl w:val="E68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1C54F2"/>
    <w:multiLevelType w:val="hybridMultilevel"/>
    <w:tmpl w:val="444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7115F"/>
    <w:multiLevelType w:val="hybridMultilevel"/>
    <w:tmpl w:val="162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8043A"/>
    <w:multiLevelType w:val="hybridMultilevel"/>
    <w:tmpl w:val="9C4C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6F29CE"/>
    <w:multiLevelType w:val="hybridMultilevel"/>
    <w:tmpl w:val="F700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6A0AAF"/>
    <w:multiLevelType w:val="hybridMultilevel"/>
    <w:tmpl w:val="384E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7678C"/>
    <w:multiLevelType w:val="hybridMultilevel"/>
    <w:tmpl w:val="80F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9491C"/>
    <w:multiLevelType w:val="hybridMultilevel"/>
    <w:tmpl w:val="9566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C7C1C"/>
    <w:multiLevelType w:val="hybridMultilevel"/>
    <w:tmpl w:val="1956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E0764"/>
    <w:multiLevelType w:val="hybridMultilevel"/>
    <w:tmpl w:val="6732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53584"/>
    <w:multiLevelType w:val="hybridMultilevel"/>
    <w:tmpl w:val="9E8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F2765"/>
    <w:multiLevelType w:val="hybridMultilevel"/>
    <w:tmpl w:val="07BC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3F5DA7"/>
    <w:multiLevelType w:val="hybridMultilevel"/>
    <w:tmpl w:val="1FBE43D6"/>
    <w:lvl w:ilvl="0" w:tplc="CB96AC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A81E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1080B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65F54">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D64874">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1AA98E">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B2243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228A7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6E6A6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51527F37"/>
    <w:multiLevelType w:val="hybridMultilevel"/>
    <w:tmpl w:val="5AF00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2355E5"/>
    <w:multiLevelType w:val="hybridMultilevel"/>
    <w:tmpl w:val="0308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413D4"/>
    <w:multiLevelType w:val="hybridMultilevel"/>
    <w:tmpl w:val="7BC6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020391"/>
    <w:multiLevelType w:val="hybridMultilevel"/>
    <w:tmpl w:val="F1F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6855225"/>
    <w:multiLevelType w:val="hybridMultilevel"/>
    <w:tmpl w:val="1698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46D39"/>
    <w:multiLevelType w:val="hybridMultilevel"/>
    <w:tmpl w:val="4404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635893"/>
    <w:multiLevelType w:val="hybridMultilevel"/>
    <w:tmpl w:val="A934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243443"/>
    <w:multiLevelType w:val="hybridMultilevel"/>
    <w:tmpl w:val="544C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071F5B"/>
    <w:multiLevelType w:val="hybridMultilevel"/>
    <w:tmpl w:val="3BD0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9A4A03"/>
    <w:multiLevelType w:val="hybridMultilevel"/>
    <w:tmpl w:val="129C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0377F3"/>
    <w:multiLevelType w:val="hybridMultilevel"/>
    <w:tmpl w:val="0318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33"/>
  </w:num>
  <w:num w:numId="4">
    <w:abstractNumId w:val="40"/>
  </w:num>
  <w:num w:numId="5">
    <w:abstractNumId w:val="43"/>
  </w:num>
  <w:num w:numId="6">
    <w:abstractNumId w:val="36"/>
  </w:num>
  <w:num w:numId="7">
    <w:abstractNumId w:val="13"/>
  </w:num>
  <w:num w:numId="8">
    <w:abstractNumId w:val="23"/>
  </w:num>
  <w:num w:numId="9">
    <w:abstractNumId w:val="21"/>
  </w:num>
  <w:num w:numId="10">
    <w:abstractNumId w:val="27"/>
  </w:num>
  <w:num w:numId="11">
    <w:abstractNumId w:val="1"/>
  </w:num>
  <w:num w:numId="12">
    <w:abstractNumId w:val="41"/>
  </w:num>
  <w:num w:numId="13">
    <w:abstractNumId w:val="31"/>
  </w:num>
  <w:num w:numId="14">
    <w:abstractNumId w:val="17"/>
  </w:num>
  <w:num w:numId="15">
    <w:abstractNumId w:val="38"/>
  </w:num>
  <w:num w:numId="16">
    <w:abstractNumId w:val="42"/>
  </w:num>
  <w:num w:numId="17">
    <w:abstractNumId w:val="39"/>
  </w:num>
  <w:num w:numId="18">
    <w:abstractNumId w:val="14"/>
  </w:num>
  <w:num w:numId="19">
    <w:abstractNumId w:val="19"/>
  </w:num>
  <w:num w:numId="20">
    <w:abstractNumId w:val="4"/>
  </w:num>
  <w:num w:numId="21">
    <w:abstractNumId w:val="5"/>
  </w:num>
  <w:num w:numId="22">
    <w:abstractNumId w:val="28"/>
  </w:num>
  <w:num w:numId="23">
    <w:abstractNumId w:val="6"/>
  </w:num>
  <w:num w:numId="24">
    <w:abstractNumId w:val="20"/>
  </w:num>
  <w:num w:numId="25">
    <w:abstractNumId w:val="25"/>
  </w:num>
  <w:num w:numId="26">
    <w:abstractNumId w:val="0"/>
  </w:num>
  <w:num w:numId="27">
    <w:abstractNumId w:val="35"/>
  </w:num>
  <w:num w:numId="28">
    <w:abstractNumId w:val="37"/>
  </w:num>
  <w:num w:numId="29">
    <w:abstractNumId w:val="29"/>
  </w:num>
  <w:num w:numId="30">
    <w:abstractNumId w:val="26"/>
  </w:num>
  <w:num w:numId="31">
    <w:abstractNumId w:val="24"/>
  </w:num>
  <w:num w:numId="32">
    <w:abstractNumId w:val="16"/>
  </w:num>
  <w:num w:numId="33">
    <w:abstractNumId w:val="22"/>
  </w:num>
  <w:num w:numId="34">
    <w:abstractNumId w:val="18"/>
  </w:num>
  <w:num w:numId="35">
    <w:abstractNumId w:val="34"/>
  </w:num>
  <w:num w:numId="36">
    <w:abstractNumId w:val="11"/>
  </w:num>
  <w:num w:numId="37">
    <w:abstractNumId w:val="15"/>
  </w:num>
  <w:num w:numId="38">
    <w:abstractNumId w:val="8"/>
  </w:num>
  <w:num w:numId="39">
    <w:abstractNumId w:val="7"/>
  </w:num>
  <w:num w:numId="40">
    <w:abstractNumId w:val="12"/>
  </w:num>
  <w:num w:numId="41">
    <w:abstractNumId w:val="30"/>
  </w:num>
  <w:num w:numId="42">
    <w:abstractNumId w:val="10"/>
  </w:num>
  <w:num w:numId="43">
    <w:abstractNumId w:val="9"/>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0616C"/>
    <w:rsid w:val="00011ED0"/>
    <w:rsid w:val="000142BF"/>
    <w:rsid w:val="0001642D"/>
    <w:rsid w:val="00023178"/>
    <w:rsid w:val="00035FB9"/>
    <w:rsid w:val="0004005C"/>
    <w:rsid w:val="0004038A"/>
    <w:rsid w:val="00041055"/>
    <w:rsid w:val="00041373"/>
    <w:rsid w:val="00043E86"/>
    <w:rsid w:val="0005074D"/>
    <w:rsid w:val="00054759"/>
    <w:rsid w:val="000602F2"/>
    <w:rsid w:val="00062049"/>
    <w:rsid w:val="00071C39"/>
    <w:rsid w:val="00076101"/>
    <w:rsid w:val="00092D74"/>
    <w:rsid w:val="000A73A4"/>
    <w:rsid w:val="000B0517"/>
    <w:rsid w:val="000B0529"/>
    <w:rsid w:val="000B183D"/>
    <w:rsid w:val="000B422E"/>
    <w:rsid w:val="000B566B"/>
    <w:rsid w:val="000D2A9F"/>
    <w:rsid w:val="000D4AB7"/>
    <w:rsid w:val="000D57C1"/>
    <w:rsid w:val="000E3E4B"/>
    <w:rsid w:val="000E4EB2"/>
    <w:rsid w:val="000F593C"/>
    <w:rsid w:val="00102270"/>
    <w:rsid w:val="00102C0E"/>
    <w:rsid w:val="00121C90"/>
    <w:rsid w:val="00123D4D"/>
    <w:rsid w:val="00130073"/>
    <w:rsid w:val="00142072"/>
    <w:rsid w:val="00142673"/>
    <w:rsid w:val="0014445E"/>
    <w:rsid w:val="00146B28"/>
    <w:rsid w:val="0014761F"/>
    <w:rsid w:val="0015170B"/>
    <w:rsid w:val="0016067A"/>
    <w:rsid w:val="00161D17"/>
    <w:rsid w:val="00162525"/>
    <w:rsid w:val="00162F92"/>
    <w:rsid w:val="00184D03"/>
    <w:rsid w:val="001866F5"/>
    <w:rsid w:val="001A0D16"/>
    <w:rsid w:val="001A4E93"/>
    <w:rsid w:val="001B330B"/>
    <w:rsid w:val="001B4C52"/>
    <w:rsid w:val="001D3E8F"/>
    <w:rsid w:val="001F1D61"/>
    <w:rsid w:val="00200C02"/>
    <w:rsid w:val="00201629"/>
    <w:rsid w:val="0020493D"/>
    <w:rsid w:val="00212C54"/>
    <w:rsid w:val="00213D79"/>
    <w:rsid w:val="00216576"/>
    <w:rsid w:val="002241AF"/>
    <w:rsid w:val="002268FB"/>
    <w:rsid w:val="00241743"/>
    <w:rsid w:val="002427C9"/>
    <w:rsid w:val="002547D0"/>
    <w:rsid w:val="0025597D"/>
    <w:rsid w:val="00266818"/>
    <w:rsid w:val="00270564"/>
    <w:rsid w:val="0027713C"/>
    <w:rsid w:val="002864DE"/>
    <w:rsid w:val="002A4572"/>
    <w:rsid w:val="002A4B0C"/>
    <w:rsid w:val="002A5BD2"/>
    <w:rsid w:val="002B61B1"/>
    <w:rsid w:val="002B69FE"/>
    <w:rsid w:val="002B6D6C"/>
    <w:rsid w:val="002B79E6"/>
    <w:rsid w:val="002B7AC2"/>
    <w:rsid w:val="002C0F69"/>
    <w:rsid w:val="002C3DA7"/>
    <w:rsid w:val="002C48A3"/>
    <w:rsid w:val="002D6E53"/>
    <w:rsid w:val="002D7FF2"/>
    <w:rsid w:val="002E33B4"/>
    <w:rsid w:val="002F4B06"/>
    <w:rsid w:val="002F512B"/>
    <w:rsid w:val="00304C2A"/>
    <w:rsid w:val="00306CDE"/>
    <w:rsid w:val="0031106E"/>
    <w:rsid w:val="00320FF0"/>
    <w:rsid w:val="00333048"/>
    <w:rsid w:val="003369AD"/>
    <w:rsid w:val="00336C5A"/>
    <w:rsid w:val="00340A2F"/>
    <w:rsid w:val="00341E4D"/>
    <w:rsid w:val="00343C25"/>
    <w:rsid w:val="00344702"/>
    <w:rsid w:val="00344CB3"/>
    <w:rsid w:val="0036182A"/>
    <w:rsid w:val="00363FC2"/>
    <w:rsid w:val="003710AB"/>
    <w:rsid w:val="00372C9D"/>
    <w:rsid w:val="00376370"/>
    <w:rsid w:val="003804F7"/>
    <w:rsid w:val="00382376"/>
    <w:rsid w:val="00384557"/>
    <w:rsid w:val="00391F23"/>
    <w:rsid w:val="003A127D"/>
    <w:rsid w:val="003A7912"/>
    <w:rsid w:val="003B0A91"/>
    <w:rsid w:val="003B163B"/>
    <w:rsid w:val="003C3387"/>
    <w:rsid w:val="003C5747"/>
    <w:rsid w:val="003C672A"/>
    <w:rsid w:val="003D0018"/>
    <w:rsid w:val="003F2240"/>
    <w:rsid w:val="003F27A1"/>
    <w:rsid w:val="004043D4"/>
    <w:rsid w:val="00417B27"/>
    <w:rsid w:val="004218A8"/>
    <w:rsid w:val="00440BE4"/>
    <w:rsid w:val="00440E14"/>
    <w:rsid w:val="004412F0"/>
    <w:rsid w:val="004417A7"/>
    <w:rsid w:val="00442140"/>
    <w:rsid w:val="0044305D"/>
    <w:rsid w:val="004703BC"/>
    <w:rsid w:val="00487E71"/>
    <w:rsid w:val="004A46A8"/>
    <w:rsid w:val="004A6076"/>
    <w:rsid w:val="004B4940"/>
    <w:rsid w:val="004B636E"/>
    <w:rsid w:val="004C0F9F"/>
    <w:rsid w:val="004D1B16"/>
    <w:rsid w:val="004D2844"/>
    <w:rsid w:val="004D7ABE"/>
    <w:rsid w:val="004E367E"/>
    <w:rsid w:val="004F1404"/>
    <w:rsid w:val="004F6832"/>
    <w:rsid w:val="00500094"/>
    <w:rsid w:val="0050308A"/>
    <w:rsid w:val="00513DEC"/>
    <w:rsid w:val="00514B85"/>
    <w:rsid w:val="0052501D"/>
    <w:rsid w:val="0052681D"/>
    <w:rsid w:val="00532EFC"/>
    <w:rsid w:val="00532F9B"/>
    <w:rsid w:val="00533BC2"/>
    <w:rsid w:val="00543320"/>
    <w:rsid w:val="005563A0"/>
    <w:rsid w:val="005606D7"/>
    <w:rsid w:val="00564C31"/>
    <w:rsid w:val="00570BB0"/>
    <w:rsid w:val="005742AE"/>
    <w:rsid w:val="0057722D"/>
    <w:rsid w:val="00590F3A"/>
    <w:rsid w:val="00591250"/>
    <w:rsid w:val="00594C23"/>
    <w:rsid w:val="005A1684"/>
    <w:rsid w:val="005A584F"/>
    <w:rsid w:val="005A5ED9"/>
    <w:rsid w:val="005B565F"/>
    <w:rsid w:val="005C6CB3"/>
    <w:rsid w:val="005D1C17"/>
    <w:rsid w:val="005D2740"/>
    <w:rsid w:val="005D785D"/>
    <w:rsid w:val="005E106F"/>
    <w:rsid w:val="00612188"/>
    <w:rsid w:val="006308F8"/>
    <w:rsid w:val="006408F8"/>
    <w:rsid w:val="006452F9"/>
    <w:rsid w:val="00653B91"/>
    <w:rsid w:val="00657F5D"/>
    <w:rsid w:val="006757D1"/>
    <w:rsid w:val="006757D2"/>
    <w:rsid w:val="0067776B"/>
    <w:rsid w:val="006804AE"/>
    <w:rsid w:val="006855DF"/>
    <w:rsid w:val="006939A2"/>
    <w:rsid w:val="006A3CE7"/>
    <w:rsid w:val="006A4018"/>
    <w:rsid w:val="006C71FA"/>
    <w:rsid w:val="006D1221"/>
    <w:rsid w:val="006D47B7"/>
    <w:rsid w:val="006D512F"/>
    <w:rsid w:val="006E14D3"/>
    <w:rsid w:val="006E14F8"/>
    <w:rsid w:val="006E1D1B"/>
    <w:rsid w:val="0070192B"/>
    <w:rsid w:val="00704FD3"/>
    <w:rsid w:val="0071468F"/>
    <w:rsid w:val="00743A99"/>
    <w:rsid w:val="0074426E"/>
    <w:rsid w:val="0074455D"/>
    <w:rsid w:val="00757409"/>
    <w:rsid w:val="00761AFE"/>
    <w:rsid w:val="00764526"/>
    <w:rsid w:val="007731F2"/>
    <w:rsid w:val="00783239"/>
    <w:rsid w:val="00786582"/>
    <w:rsid w:val="00787C66"/>
    <w:rsid w:val="0079379A"/>
    <w:rsid w:val="007A042B"/>
    <w:rsid w:val="007A3F57"/>
    <w:rsid w:val="007A4D0A"/>
    <w:rsid w:val="007B2BE5"/>
    <w:rsid w:val="007C1C36"/>
    <w:rsid w:val="007C6B15"/>
    <w:rsid w:val="007D2BD0"/>
    <w:rsid w:val="007D3E56"/>
    <w:rsid w:val="007F316B"/>
    <w:rsid w:val="007F3D76"/>
    <w:rsid w:val="00801258"/>
    <w:rsid w:val="00803831"/>
    <w:rsid w:val="008130FC"/>
    <w:rsid w:val="008148B7"/>
    <w:rsid w:val="00821DF8"/>
    <w:rsid w:val="00822D3F"/>
    <w:rsid w:val="008330CB"/>
    <w:rsid w:val="00834BAB"/>
    <w:rsid w:val="00835C17"/>
    <w:rsid w:val="00837358"/>
    <w:rsid w:val="00840DE2"/>
    <w:rsid w:val="00841DFD"/>
    <w:rsid w:val="00844AA9"/>
    <w:rsid w:val="008511CF"/>
    <w:rsid w:val="0085590E"/>
    <w:rsid w:val="008657CA"/>
    <w:rsid w:val="008703DF"/>
    <w:rsid w:val="00872D34"/>
    <w:rsid w:val="00876397"/>
    <w:rsid w:val="00876DDF"/>
    <w:rsid w:val="00876F21"/>
    <w:rsid w:val="00881144"/>
    <w:rsid w:val="0088178E"/>
    <w:rsid w:val="00885EF6"/>
    <w:rsid w:val="00890171"/>
    <w:rsid w:val="008945B0"/>
    <w:rsid w:val="00894994"/>
    <w:rsid w:val="0089734D"/>
    <w:rsid w:val="008B2E1F"/>
    <w:rsid w:val="008C2306"/>
    <w:rsid w:val="008D1069"/>
    <w:rsid w:val="008D2086"/>
    <w:rsid w:val="008D2FE0"/>
    <w:rsid w:val="008E1B96"/>
    <w:rsid w:val="008E259E"/>
    <w:rsid w:val="008E42EB"/>
    <w:rsid w:val="008E77AA"/>
    <w:rsid w:val="008F3C67"/>
    <w:rsid w:val="00901138"/>
    <w:rsid w:val="009061FC"/>
    <w:rsid w:val="00913C85"/>
    <w:rsid w:val="0091497E"/>
    <w:rsid w:val="009517C5"/>
    <w:rsid w:val="00957404"/>
    <w:rsid w:val="00972EA1"/>
    <w:rsid w:val="00990F82"/>
    <w:rsid w:val="00991AC8"/>
    <w:rsid w:val="009A7A14"/>
    <w:rsid w:val="009B1F89"/>
    <w:rsid w:val="009C29AF"/>
    <w:rsid w:val="009D0FF6"/>
    <w:rsid w:val="009F5EFD"/>
    <w:rsid w:val="00A04ECD"/>
    <w:rsid w:val="00A070AC"/>
    <w:rsid w:val="00A15BF4"/>
    <w:rsid w:val="00A20120"/>
    <w:rsid w:val="00A26E53"/>
    <w:rsid w:val="00A36680"/>
    <w:rsid w:val="00A53EB2"/>
    <w:rsid w:val="00A6186D"/>
    <w:rsid w:val="00A67673"/>
    <w:rsid w:val="00A7370D"/>
    <w:rsid w:val="00A76333"/>
    <w:rsid w:val="00A92BB1"/>
    <w:rsid w:val="00A94FD5"/>
    <w:rsid w:val="00AA3A1E"/>
    <w:rsid w:val="00AB46F0"/>
    <w:rsid w:val="00AC1C8A"/>
    <w:rsid w:val="00AC793D"/>
    <w:rsid w:val="00AE61B6"/>
    <w:rsid w:val="00AF707C"/>
    <w:rsid w:val="00B0188A"/>
    <w:rsid w:val="00B06799"/>
    <w:rsid w:val="00B109A6"/>
    <w:rsid w:val="00B173FA"/>
    <w:rsid w:val="00B24F26"/>
    <w:rsid w:val="00B35A0B"/>
    <w:rsid w:val="00B41922"/>
    <w:rsid w:val="00B42F2E"/>
    <w:rsid w:val="00B53B2F"/>
    <w:rsid w:val="00B63B90"/>
    <w:rsid w:val="00B67333"/>
    <w:rsid w:val="00B67F82"/>
    <w:rsid w:val="00B775D9"/>
    <w:rsid w:val="00B80933"/>
    <w:rsid w:val="00BB7358"/>
    <w:rsid w:val="00BC49F7"/>
    <w:rsid w:val="00BD1726"/>
    <w:rsid w:val="00BD4A4C"/>
    <w:rsid w:val="00BE14CB"/>
    <w:rsid w:val="00BE6EB8"/>
    <w:rsid w:val="00BE74E2"/>
    <w:rsid w:val="00BF3BCC"/>
    <w:rsid w:val="00BF4F1E"/>
    <w:rsid w:val="00C00CE2"/>
    <w:rsid w:val="00C02C89"/>
    <w:rsid w:val="00C02D0F"/>
    <w:rsid w:val="00C166AF"/>
    <w:rsid w:val="00C21012"/>
    <w:rsid w:val="00C2232A"/>
    <w:rsid w:val="00C355E5"/>
    <w:rsid w:val="00C359D9"/>
    <w:rsid w:val="00C37DEC"/>
    <w:rsid w:val="00C42378"/>
    <w:rsid w:val="00C45BE0"/>
    <w:rsid w:val="00C4603E"/>
    <w:rsid w:val="00C5266C"/>
    <w:rsid w:val="00C63116"/>
    <w:rsid w:val="00C6768F"/>
    <w:rsid w:val="00C71C61"/>
    <w:rsid w:val="00C741EF"/>
    <w:rsid w:val="00C90762"/>
    <w:rsid w:val="00CA0754"/>
    <w:rsid w:val="00CA1FB3"/>
    <w:rsid w:val="00CA379A"/>
    <w:rsid w:val="00CC45F4"/>
    <w:rsid w:val="00CC6D06"/>
    <w:rsid w:val="00CD5F59"/>
    <w:rsid w:val="00CE0978"/>
    <w:rsid w:val="00CE501A"/>
    <w:rsid w:val="00CE545B"/>
    <w:rsid w:val="00D0187E"/>
    <w:rsid w:val="00D05C3E"/>
    <w:rsid w:val="00D106F5"/>
    <w:rsid w:val="00D11EB5"/>
    <w:rsid w:val="00D150D2"/>
    <w:rsid w:val="00D274C1"/>
    <w:rsid w:val="00D31E74"/>
    <w:rsid w:val="00D33585"/>
    <w:rsid w:val="00D435C4"/>
    <w:rsid w:val="00D66C54"/>
    <w:rsid w:val="00D75336"/>
    <w:rsid w:val="00DA5DB5"/>
    <w:rsid w:val="00DB5B19"/>
    <w:rsid w:val="00DC3DBD"/>
    <w:rsid w:val="00DC5693"/>
    <w:rsid w:val="00DD0D0D"/>
    <w:rsid w:val="00DD2ECA"/>
    <w:rsid w:val="00DF0306"/>
    <w:rsid w:val="00DF2EFB"/>
    <w:rsid w:val="00E051C9"/>
    <w:rsid w:val="00E1011D"/>
    <w:rsid w:val="00E249AA"/>
    <w:rsid w:val="00E270AF"/>
    <w:rsid w:val="00E364A2"/>
    <w:rsid w:val="00E41675"/>
    <w:rsid w:val="00E474FC"/>
    <w:rsid w:val="00E47F72"/>
    <w:rsid w:val="00E533E4"/>
    <w:rsid w:val="00E60C79"/>
    <w:rsid w:val="00E63305"/>
    <w:rsid w:val="00E75548"/>
    <w:rsid w:val="00E75ACD"/>
    <w:rsid w:val="00E769B1"/>
    <w:rsid w:val="00E77264"/>
    <w:rsid w:val="00E774FA"/>
    <w:rsid w:val="00E86EDF"/>
    <w:rsid w:val="00E911CC"/>
    <w:rsid w:val="00EA176A"/>
    <w:rsid w:val="00EA2B60"/>
    <w:rsid w:val="00EA46EE"/>
    <w:rsid w:val="00EA76BA"/>
    <w:rsid w:val="00EB1912"/>
    <w:rsid w:val="00EB2FB1"/>
    <w:rsid w:val="00EB6B68"/>
    <w:rsid w:val="00EC0822"/>
    <w:rsid w:val="00EC308C"/>
    <w:rsid w:val="00EC46D8"/>
    <w:rsid w:val="00EC7420"/>
    <w:rsid w:val="00EC792C"/>
    <w:rsid w:val="00ED3C5D"/>
    <w:rsid w:val="00EE0750"/>
    <w:rsid w:val="00EE2FC6"/>
    <w:rsid w:val="00EE724A"/>
    <w:rsid w:val="00F000B5"/>
    <w:rsid w:val="00F03DC3"/>
    <w:rsid w:val="00F04FD1"/>
    <w:rsid w:val="00F0623C"/>
    <w:rsid w:val="00F07A92"/>
    <w:rsid w:val="00F10B7E"/>
    <w:rsid w:val="00F32287"/>
    <w:rsid w:val="00F33257"/>
    <w:rsid w:val="00F35F29"/>
    <w:rsid w:val="00F42A28"/>
    <w:rsid w:val="00F50DE0"/>
    <w:rsid w:val="00F54665"/>
    <w:rsid w:val="00F728AB"/>
    <w:rsid w:val="00F8478F"/>
    <w:rsid w:val="00FA3914"/>
    <w:rsid w:val="00FA6C34"/>
    <w:rsid w:val="00FB253F"/>
    <w:rsid w:val="00FB360E"/>
    <w:rsid w:val="00FB5BCA"/>
    <w:rsid w:val="00FB6AC3"/>
    <w:rsid w:val="00FC1C43"/>
    <w:rsid w:val="00FD2076"/>
    <w:rsid w:val="00FD358C"/>
    <w:rsid w:val="00FD4E4E"/>
    <w:rsid w:val="00FD5776"/>
    <w:rsid w:val="00FE2ED3"/>
    <w:rsid w:val="00FE2FA9"/>
    <w:rsid w:val="00FE7A50"/>
    <w:rsid w:val="00FF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EAA15F-1F87-4FE6-A65E-E4A0F706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 w:type="paragraph" w:styleId="PlainText">
    <w:name w:val="Plain Text"/>
    <w:basedOn w:val="Normal"/>
    <w:link w:val="PlainTextChar"/>
    <w:uiPriority w:val="99"/>
    <w:unhideWhenUsed/>
    <w:rsid w:val="00957404"/>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rsid w:val="006757D2"/>
    <w:rPr>
      <w:color w:val="800080" w:themeColor="followedHyperlink"/>
      <w:u w:val="single"/>
    </w:rPr>
  </w:style>
  <w:style w:type="table" w:customStyle="1" w:styleId="TableGrid">
    <w:name w:val="TableGrid"/>
    <w:rsid w:val="00142072"/>
    <w:pPr>
      <w:spacing w:after="0" w:line="240" w:lineRule="auto"/>
    </w:pPr>
    <w:rPr>
      <w:rFonts w:cstheme="minorBidi"/>
    </w:rPr>
    <w:tblPr>
      <w:tblCellMar>
        <w:top w:w="0" w:type="dxa"/>
        <w:left w:w="0" w:type="dxa"/>
        <w:bottom w:w="0" w:type="dxa"/>
        <w:right w:w="0" w:type="dxa"/>
      </w:tblCellMar>
    </w:tblPr>
  </w:style>
  <w:style w:type="paragraph" w:styleId="NoSpacing">
    <w:name w:val="No Spacing"/>
    <w:uiPriority w:val="1"/>
    <w:qFormat/>
    <w:rsid w:val="00DF0306"/>
    <w:pPr>
      <w:spacing w:after="0" w:line="240" w:lineRule="auto"/>
    </w:pPr>
    <w:rPr>
      <w:rFonts w:ascii="Times New Roman" w:eastAsia="Calibri" w:hAnsi="Times New Roman" w:cs="Calibri"/>
      <w:color w:val="000000"/>
      <w:sz w:val="20"/>
    </w:rPr>
  </w:style>
  <w:style w:type="table" w:styleId="TableGrid0">
    <w:name w:val="Table Grid"/>
    <w:basedOn w:val="TableNormal"/>
    <w:uiPriority w:val="39"/>
    <w:rsid w:val="00DF0306"/>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9151">
      <w:bodyDiv w:val="1"/>
      <w:marLeft w:val="0"/>
      <w:marRight w:val="0"/>
      <w:marTop w:val="0"/>
      <w:marBottom w:val="0"/>
      <w:divBdr>
        <w:top w:val="none" w:sz="0" w:space="0" w:color="auto"/>
        <w:left w:val="none" w:sz="0" w:space="0" w:color="auto"/>
        <w:bottom w:val="none" w:sz="0" w:space="0" w:color="auto"/>
        <w:right w:val="none" w:sz="0" w:space="0" w:color="auto"/>
      </w:divBdr>
    </w:div>
    <w:div w:id="825632282">
      <w:bodyDiv w:val="1"/>
      <w:marLeft w:val="0"/>
      <w:marRight w:val="0"/>
      <w:marTop w:val="0"/>
      <w:marBottom w:val="0"/>
      <w:divBdr>
        <w:top w:val="none" w:sz="0" w:space="0" w:color="auto"/>
        <w:left w:val="none" w:sz="0" w:space="0" w:color="auto"/>
        <w:bottom w:val="none" w:sz="0" w:space="0" w:color="auto"/>
        <w:right w:val="none" w:sz="0" w:space="0" w:color="auto"/>
      </w:divBdr>
    </w:div>
    <w:div w:id="1072777731">
      <w:bodyDiv w:val="1"/>
      <w:marLeft w:val="0"/>
      <w:marRight w:val="0"/>
      <w:marTop w:val="0"/>
      <w:marBottom w:val="0"/>
      <w:divBdr>
        <w:top w:val="none" w:sz="0" w:space="0" w:color="auto"/>
        <w:left w:val="none" w:sz="0" w:space="0" w:color="auto"/>
        <w:bottom w:val="none" w:sz="0" w:space="0" w:color="auto"/>
        <w:right w:val="none" w:sz="0" w:space="0" w:color="auto"/>
      </w:divBdr>
    </w:div>
    <w:div w:id="1152336064">
      <w:bodyDiv w:val="1"/>
      <w:marLeft w:val="0"/>
      <w:marRight w:val="0"/>
      <w:marTop w:val="0"/>
      <w:marBottom w:val="0"/>
      <w:divBdr>
        <w:top w:val="none" w:sz="0" w:space="0" w:color="auto"/>
        <w:left w:val="none" w:sz="0" w:space="0" w:color="auto"/>
        <w:bottom w:val="none" w:sz="0" w:space="0" w:color="auto"/>
        <w:right w:val="none" w:sz="0" w:space="0" w:color="auto"/>
      </w:divBdr>
    </w:div>
    <w:div w:id="1194540944">
      <w:bodyDiv w:val="1"/>
      <w:marLeft w:val="0"/>
      <w:marRight w:val="0"/>
      <w:marTop w:val="0"/>
      <w:marBottom w:val="0"/>
      <w:divBdr>
        <w:top w:val="none" w:sz="0" w:space="0" w:color="auto"/>
        <w:left w:val="none" w:sz="0" w:space="0" w:color="auto"/>
        <w:bottom w:val="none" w:sz="0" w:space="0" w:color="auto"/>
        <w:right w:val="none" w:sz="0" w:space="0" w:color="auto"/>
      </w:divBdr>
    </w:div>
    <w:div w:id="2006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C71D-2FD9-425F-AFA0-89970134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cp:keywords/>
  <dc:description/>
  <cp:lastModifiedBy>RichA</cp:lastModifiedBy>
  <cp:revision>4</cp:revision>
  <cp:lastPrinted>2017-06-17T02:17:00Z</cp:lastPrinted>
  <dcterms:created xsi:type="dcterms:W3CDTF">2017-07-16T21:24:00Z</dcterms:created>
  <dcterms:modified xsi:type="dcterms:W3CDTF">2017-07-19T01:25:00Z</dcterms:modified>
</cp:coreProperties>
</file>