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34" w:rsidRDefault="00FD1447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:rsidR="00210734" w:rsidRDefault="00FD1447">
      <w:pPr>
        <w:widowControl w:val="0"/>
        <w:spacing w:after="0" w:line="240" w:lineRule="auto"/>
        <w:jc w:val="center"/>
      </w:pPr>
      <w:r>
        <w:rPr>
          <w:bCs/>
          <w:lang w:val="en"/>
        </w:rPr>
        <w:t>West Chester Mid-Pointe Library Boardroom – Apr 28, 2018</w:t>
      </w:r>
    </w:p>
    <w:p w:rsidR="00210734" w:rsidRDefault="00210734">
      <w:pPr>
        <w:widowControl w:val="0"/>
        <w:spacing w:after="0" w:line="240" w:lineRule="auto"/>
        <w:rPr>
          <w:b/>
          <w:bCs/>
          <w:lang w:val="en"/>
        </w:rPr>
      </w:pPr>
    </w:p>
    <w:p w:rsidR="00210734" w:rsidRDefault="00FD1447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Call to Order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Presiding Partner Richard Alden</w:t>
      </w:r>
      <w:r>
        <w:rPr>
          <w:lang w:val="en"/>
        </w:rPr>
        <w:t xml:space="preserve"> called the meeting to order at 9:55a. Proxies were noted. </w:t>
      </w:r>
    </w:p>
    <w:p w:rsidR="00210734" w:rsidRDefault="00FD1447">
      <w:pPr>
        <w:widowControl w:val="0"/>
        <w:spacing w:after="0" w:line="240" w:lineRule="auto"/>
      </w:pPr>
      <w:r>
        <w:rPr>
          <w:b/>
          <w:lang w:val="en"/>
        </w:rPr>
        <w:t xml:space="preserve">Guests in Person: </w:t>
      </w:r>
      <w:r>
        <w:rPr>
          <w:lang w:val="en"/>
        </w:rPr>
        <w:t xml:space="preserve">Cheryl </w:t>
      </w:r>
      <w:proofErr w:type="spellStart"/>
      <w:r>
        <w:rPr>
          <w:lang w:val="en"/>
        </w:rPr>
        <w:t>Hargett</w:t>
      </w:r>
      <w:proofErr w:type="spellEnd"/>
      <w:r>
        <w:rPr>
          <w:lang w:val="en"/>
        </w:rPr>
        <w:t xml:space="preserve">, </w:t>
      </w:r>
      <w:r>
        <w:rPr>
          <w:lang w:val="en"/>
        </w:rPr>
        <w:t xml:space="preserve">Phillip </w:t>
      </w:r>
      <w:proofErr w:type="spellStart"/>
      <w:r>
        <w:rPr>
          <w:lang w:val="en"/>
        </w:rPr>
        <w:t>Baxman</w:t>
      </w:r>
      <w:proofErr w:type="spellEnd"/>
      <w:r>
        <w:rPr>
          <w:lang w:val="en"/>
        </w:rPr>
        <w:t xml:space="preserve">, Doug </w:t>
      </w:r>
      <w:proofErr w:type="spellStart"/>
      <w:r>
        <w:rPr>
          <w:lang w:val="en"/>
        </w:rPr>
        <w:t>Geverdt</w:t>
      </w:r>
      <w:proofErr w:type="spellEnd"/>
      <w:r>
        <w:rPr>
          <w:lang w:val="en"/>
        </w:rPr>
        <w:t xml:space="preserve">, Henrietta </w:t>
      </w:r>
      <w:proofErr w:type="spellStart"/>
      <w:r>
        <w:rPr>
          <w:lang w:val="en"/>
        </w:rPr>
        <w:t>Goolsby</w:t>
      </w:r>
      <w:proofErr w:type="spellEnd"/>
      <w:r w:rsidR="00597EFE">
        <w:rPr>
          <w:lang w:val="en"/>
        </w:rPr>
        <w:t xml:space="preserve">; </w:t>
      </w:r>
      <w:r>
        <w:rPr>
          <w:b/>
          <w:lang w:val="en"/>
        </w:rPr>
        <w:t xml:space="preserve">Guests on webinar: </w:t>
      </w:r>
      <w:r>
        <w:rPr>
          <w:lang w:val="en"/>
        </w:rPr>
        <w:t xml:space="preserve">Dan </w:t>
      </w:r>
      <w:proofErr w:type="spellStart"/>
      <w:r>
        <w:rPr>
          <w:lang w:val="en"/>
        </w:rPr>
        <w:t>Kuhl</w:t>
      </w:r>
      <w:proofErr w:type="spellEnd"/>
      <w:r>
        <w:rPr>
          <w:lang w:val="en"/>
        </w:rPr>
        <w:t>, Linda Margolis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b/>
                <w:bCs/>
                <w:lang w:val="en"/>
              </w:rPr>
              <w:t>Proxy</w:t>
            </w:r>
          </w:p>
        </w:tc>
      </w:tr>
      <w:tr w:rsidR="00210734">
        <w:trPr>
          <w:trHeight w:val="25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Jackie </w:t>
            </w:r>
            <w:proofErr w:type="spellStart"/>
            <w:r>
              <w:rPr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Harrison </w:t>
            </w:r>
            <w:proofErr w:type="spellStart"/>
            <w:r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170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resigned</w:t>
            </w:r>
          </w:p>
        </w:tc>
      </w:tr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</w:t>
            </w:r>
            <w:proofErr w:type="spellStart"/>
            <w:r>
              <w:rPr>
                <w:lang w:val="en"/>
              </w:rPr>
              <w:t>Geverdt</w:t>
            </w:r>
            <w:proofErr w:type="spellEnd"/>
            <w:r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</w:pPr>
            <w:r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Michele </w:t>
            </w:r>
            <w:proofErr w:type="spellStart"/>
            <w:r>
              <w:rPr>
                <w:lang w:val="en"/>
              </w:rPr>
              <w:t>Grinoch</w:t>
            </w:r>
            <w:proofErr w:type="spellEnd"/>
            <w:r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1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Dene</w:t>
            </w:r>
          </w:p>
        </w:tc>
      </w:tr>
      <w:tr w:rsidR="00210734">
        <w:trPr>
          <w:trHeight w:val="305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FD1447">
            <w:pPr>
              <w:widowControl w:val="0"/>
              <w:spacing w:after="0" w:line="240" w:lineRule="auto"/>
              <w:jc w:val="center"/>
            </w:pPr>
            <w:r>
              <w:rPr>
                <w:lang w:val="en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210734">
        <w:trPr>
          <w:trHeight w:val="305"/>
        </w:trPr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Default="00210734">
            <w:pPr>
              <w:widowControl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lang w:val="en"/>
        </w:rPr>
        <w:t xml:space="preserve">Note: Parentheses denote provisional presence or </w:t>
      </w:r>
      <w:r>
        <w:rPr>
          <w:lang w:val="en"/>
        </w:rPr>
        <w:t>proxies should members not be present for the full meeting</w:t>
      </w:r>
    </w:p>
    <w:p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Recording Partner’s Report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>
        <w:rPr>
          <w:lang w:val="en"/>
        </w:rPr>
        <w:t>Minutes of the Mar 24 meeting were approved as posted.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p w:rsidR="00210734" w:rsidRDefault="00FD1447">
      <w:pPr>
        <w:widowControl w:val="0"/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Financial Partner’s Report</w:t>
      </w:r>
      <w:r>
        <w:rPr>
          <w:b/>
          <w:bCs/>
          <w:lang w:val="en"/>
        </w:rPr>
        <w:t>:</w:t>
      </w:r>
      <w:r>
        <w:rPr>
          <w:lang w:val="en"/>
        </w:rPr>
        <w:t xml:space="preserve"> </w:t>
      </w:r>
    </w:p>
    <w:p w:rsidR="00210734" w:rsidRDefault="00FD1447">
      <w:pPr>
        <w:pStyle w:val="ListParagraph"/>
        <w:widowControl w:val="0"/>
        <w:numPr>
          <w:ilvl w:val="0"/>
          <w:numId w:val="1"/>
        </w:numPr>
        <w:spacing w:after="0" w:line="240" w:lineRule="auto"/>
      </w:pPr>
      <w:r>
        <w:rPr>
          <w:rFonts w:cstheme="minorHAnsi"/>
          <w:lang w:val="en"/>
        </w:rPr>
        <w:t>Current cash: $3,277.42; There are no limit orders</w:t>
      </w:r>
    </w:p>
    <w:p w:rsidR="00210734" w:rsidRDefault="00FD144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Financial Partner’s report filed</w:t>
      </w:r>
      <w:r>
        <w:rPr>
          <w:rFonts w:cstheme="minorHAnsi"/>
          <w:lang w:val="en"/>
        </w:rPr>
        <w:t xml:space="preserve"> for audit</w:t>
      </w:r>
    </w:p>
    <w:p w:rsidR="00210734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Default="00FD1447">
      <w:pPr>
        <w:pStyle w:val="NoSpacing"/>
        <w:rPr>
          <w:rFonts w:asciiTheme="minorHAnsi" w:hAnsiTheme="minorHAnsi" w:cstheme="minorHAnsi"/>
          <w:color w:val="00000A"/>
          <w:sz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210734" w:rsidRDefault="00FD1447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color w:val="00000A"/>
          <w:sz w:val="22"/>
        </w:rPr>
        <w:t>Classes and webinars: see BetterInvesting Magazine “ONLINE” section opposite CONTENTS o</w:t>
      </w:r>
      <w:r>
        <w:rPr>
          <w:rFonts w:asciiTheme="minorHAnsi" w:hAnsiTheme="minorHAnsi" w:cstheme="minorHAnsi"/>
          <w:sz w:val="22"/>
        </w:rPr>
        <w:t xml:space="preserve">r visit the web site under Events. </w:t>
      </w:r>
    </w:p>
    <w:p w:rsidR="00210734" w:rsidRDefault="00FD1447">
      <w:pPr>
        <w:pStyle w:val="NoSpacing"/>
        <w:widowControl w:val="0"/>
        <w:numPr>
          <w:ilvl w:val="0"/>
          <w:numId w:val="2"/>
        </w:numPr>
      </w:pPr>
      <w:r>
        <w:rPr>
          <w:rFonts w:asciiTheme="minorHAnsi" w:hAnsiTheme="minorHAnsi" w:cstheme="minorHAnsi"/>
          <w:sz w:val="22"/>
        </w:rPr>
        <w:t>“</w:t>
      </w:r>
      <w:r>
        <w:rPr>
          <w:rFonts w:asciiTheme="minorHAnsi" w:hAnsiTheme="minorHAnsi" w:cstheme="minorHAnsi"/>
          <w:sz w:val="22"/>
        </w:rPr>
        <w:t xml:space="preserve">The Roundtable”, “Turn Out Tuesday” and “Investing Topics with Mark and Ken” are sponsored by BI Mid-Michigan. Register for any of them by contacting: </w:t>
      </w:r>
      <w:hyperlink r:id="rId8">
        <w:r>
          <w:rPr>
            <w:rStyle w:val="InternetLink"/>
            <w:rFonts w:asciiTheme="minorHAnsi" w:hAnsiTheme="minorHAnsi" w:cstheme="minorHAnsi"/>
            <w:sz w:val="22"/>
          </w:rPr>
          <w:t>nkavula1@comcast.net</w:t>
        </w:r>
      </w:hyperlink>
      <w:r>
        <w:rPr>
          <w:rFonts w:asciiTheme="minorHAnsi" w:hAnsiTheme="minorHAnsi" w:cstheme="minorHAnsi"/>
          <w:sz w:val="22"/>
        </w:rPr>
        <w:t>.</w:t>
      </w:r>
    </w:p>
    <w:p w:rsidR="00210734" w:rsidRDefault="00FD1447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>
        <w:rPr>
          <w:rFonts w:asciiTheme="minorHAnsi" w:hAnsiTheme="minorHAnsi" w:cstheme="minorHAnsi"/>
          <w:sz w:val="22"/>
        </w:rPr>
        <w:t>Check out Stock Up and Ticker Talk o</w:t>
      </w:r>
      <w:r>
        <w:rPr>
          <w:rFonts w:asciiTheme="minorHAnsi" w:hAnsiTheme="minorHAnsi" w:cstheme="minorHAnsi"/>
          <w:sz w:val="22"/>
        </w:rPr>
        <w:t>n the BI web site</w:t>
      </w:r>
    </w:p>
    <w:p w:rsidR="00210734" w:rsidRDefault="00FD1447">
      <w:pPr>
        <w:pStyle w:val="NoSpacing"/>
        <w:widowControl w:val="0"/>
        <w:numPr>
          <w:ilvl w:val="0"/>
          <w:numId w:val="2"/>
        </w:numPr>
      </w:pPr>
      <w:r>
        <w:rPr>
          <w:rFonts w:asciiTheme="minorHAnsi" w:hAnsiTheme="minorHAnsi" w:cstheme="minorHAnsi"/>
          <w:sz w:val="22"/>
        </w:rPr>
        <w:t>The Better Investing National Convention (BINC) will be held in May 17-20, 2018 in Orlando. Jackie will attend</w:t>
      </w:r>
    </w:p>
    <w:p w:rsidR="00210734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Default="00FD1447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Old Business:</w:t>
      </w:r>
      <w:r>
        <w:rPr>
          <w:rFonts w:cstheme="minorHAnsi"/>
          <w:lang w:val="en"/>
        </w:rPr>
        <w:t xml:space="preserve"> </w:t>
      </w:r>
    </w:p>
    <w:p w:rsidR="00210734" w:rsidRDefault="00FD1447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sz w:val="22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The </w:t>
      </w:r>
      <w:r>
        <w:rPr>
          <w:rFonts w:asciiTheme="minorHAnsi" w:hAnsiTheme="minorHAnsi" w:cstheme="minorHAnsi"/>
          <w:color w:val="00000A"/>
          <w:sz w:val="22"/>
        </w:rPr>
        <w:t xml:space="preserve">OKI Chapter Spring Educational Event on April 21, 2018 featured Ken </w:t>
      </w:r>
      <w:proofErr w:type="spellStart"/>
      <w:r>
        <w:rPr>
          <w:rFonts w:asciiTheme="minorHAnsi" w:hAnsiTheme="minorHAnsi" w:cstheme="minorHAnsi"/>
          <w:color w:val="00000A"/>
          <w:sz w:val="22"/>
        </w:rPr>
        <w:t>Kavula</w:t>
      </w:r>
      <w:proofErr w:type="spellEnd"/>
      <w:r>
        <w:rPr>
          <w:rFonts w:asciiTheme="minorHAnsi" w:hAnsiTheme="minorHAnsi" w:cstheme="minorHAnsi"/>
          <w:color w:val="00000A"/>
          <w:sz w:val="22"/>
        </w:rPr>
        <w:t xml:space="preserve"> and Mark Robertson. Approximatel</w:t>
      </w:r>
      <w:r>
        <w:rPr>
          <w:rFonts w:asciiTheme="minorHAnsi" w:hAnsiTheme="minorHAnsi" w:cstheme="minorHAnsi"/>
          <w:color w:val="00000A"/>
          <w:sz w:val="22"/>
        </w:rPr>
        <w:t xml:space="preserve">y 40 people attended, including the OKI board and </w:t>
      </w:r>
      <w:proofErr w:type="spellStart"/>
      <w:r>
        <w:rPr>
          <w:rFonts w:asciiTheme="minorHAnsi" w:hAnsiTheme="minorHAnsi" w:cstheme="minorHAnsi"/>
          <w:color w:val="00000A"/>
          <w:sz w:val="22"/>
        </w:rPr>
        <w:t>CinMIC</w:t>
      </w:r>
      <w:proofErr w:type="spellEnd"/>
      <w:r>
        <w:rPr>
          <w:rFonts w:asciiTheme="minorHAnsi" w:hAnsiTheme="minorHAnsi" w:cstheme="minorHAnsi"/>
          <w:color w:val="00000A"/>
          <w:sz w:val="22"/>
        </w:rPr>
        <w:t xml:space="preserve"> members Harrison</w:t>
      </w:r>
      <w:r w:rsidR="00597EFE">
        <w:rPr>
          <w:rFonts w:asciiTheme="minorHAnsi" w:hAnsiTheme="minorHAnsi" w:cstheme="minorHAnsi"/>
          <w:color w:val="00000A"/>
          <w:sz w:val="22"/>
        </w:rPr>
        <w:t>,</w:t>
      </w:r>
      <w:r>
        <w:rPr>
          <w:rFonts w:asciiTheme="minorHAnsi" w:hAnsiTheme="minorHAnsi" w:cstheme="minorHAnsi"/>
          <w:color w:val="00000A"/>
          <w:sz w:val="22"/>
        </w:rPr>
        <w:t xml:space="preserve"> Gregg, </w:t>
      </w:r>
      <w:r>
        <w:rPr>
          <w:rFonts w:asciiTheme="minorHAnsi" w:hAnsiTheme="minorHAnsi" w:cstheme="minorHAnsi"/>
          <w:color w:val="00000A"/>
          <w:sz w:val="22"/>
        </w:rPr>
        <w:t>Gerry and Betsy.</w:t>
      </w:r>
    </w:p>
    <w:p w:rsidR="00210734" w:rsidRDefault="00FD1447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Cs/>
          <w:sz w:val="22"/>
          <w:lang w:val="en"/>
        </w:rPr>
      </w:pPr>
      <w:r>
        <w:rPr>
          <w:rFonts w:asciiTheme="minorHAnsi" w:hAnsiTheme="minorHAnsi" w:cstheme="minorHAnsi"/>
          <w:bCs/>
          <w:sz w:val="22"/>
          <w:lang w:val="en"/>
        </w:rPr>
        <w:t xml:space="preserve">The Money Smart Week presentation at the </w:t>
      </w:r>
      <w:proofErr w:type="spellStart"/>
      <w:r>
        <w:rPr>
          <w:rFonts w:asciiTheme="minorHAnsi" w:hAnsiTheme="minorHAnsi" w:cstheme="minorHAnsi"/>
          <w:bCs/>
          <w:sz w:val="22"/>
          <w:lang w:val="en"/>
        </w:rPr>
        <w:t>MidPointe</w:t>
      </w:r>
      <w:proofErr w:type="spellEnd"/>
      <w:r>
        <w:rPr>
          <w:rFonts w:asciiTheme="minorHAnsi" w:hAnsiTheme="minorHAnsi" w:cstheme="minorHAnsi"/>
          <w:bCs/>
          <w:sz w:val="22"/>
          <w:lang w:val="en"/>
        </w:rPr>
        <w:t xml:space="preserve"> Library on Thu, Apr 26, 2018, 7:00p featured a presentation by Dene on Morningstar’s web site, a re</w:t>
      </w:r>
      <w:r>
        <w:rPr>
          <w:rFonts w:asciiTheme="minorHAnsi" w:hAnsiTheme="minorHAnsi" w:cstheme="minorHAnsi"/>
          <w:bCs/>
          <w:sz w:val="22"/>
          <w:lang w:val="en"/>
        </w:rPr>
        <w:t>al eye-opener for most of us.</w:t>
      </w:r>
    </w:p>
    <w:p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210734" w:rsidRDefault="00FD1447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New Business:</w:t>
      </w:r>
      <w:r>
        <w:rPr>
          <w:rFonts w:cstheme="minorHAnsi"/>
          <w:lang w:val="en"/>
        </w:rPr>
        <w:t xml:space="preserve"> </w:t>
      </w:r>
    </w:p>
    <w:p w:rsidR="00210734" w:rsidRDefault="00FD1447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>
        <w:rPr>
          <w:rFonts w:cstheme="minorHAnsi"/>
          <w:lang w:val="en"/>
        </w:rPr>
        <w:t>Latish</w:t>
      </w:r>
      <w:r w:rsidR="00597EFE">
        <w:rPr>
          <w:rFonts w:cstheme="minorHAnsi"/>
          <w:lang w:val="en"/>
        </w:rPr>
        <w:t>a</w:t>
      </w:r>
      <w:r>
        <w:rPr>
          <w:rFonts w:cstheme="minorHAnsi"/>
          <w:lang w:val="en"/>
        </w:rPr>
        <w:t xml:space="preserve"> Douglas has submit</w:t>
      </w:r>
      <w:r w:rsidR="00597EFE">
        <w:rPr>
          <w:rFonts w:cstheme="minorHAnsi"/>
          <w:lang w:val="en"/>
        </w:rPr>
        <w:t xml:space="preserve">ted her resignation. </w:t>
      </w:r>
      <w:proofErr w:type="spellStart"/>
      <w:r w:rsidR="00597EFE">
        <w:rPr>
          <w:rFonts w:cstheme="minorHAnsi"/>
          <w:lang w:val="en"/>
        </w:rPr>
        <w:t>Accepteed</w:t>
      </w:r>
      <w:proofErr w:type="spellEnd"/>
      <w:r w:rsidR="00597EFE">
        <w:rPr>
          <w:rFonts w:cstheme="minorHAnsi"/>
          <w:lang w:val="en"/>
        </w:rPr>
        <w:t xml:space="preserve"> as of Apr 28, valuation will be </w:t>
      </w:r>
      <w:r>
        <w:rPr>
          <w:rFonts w:cstheme="minorHAnsi"/>
          <w:lang w:val="en"/>
        </w:rPr>
        <w:t>as of the May meeting, pa</w:t>
      </w:r>
      <w:r w:rsidR="00597EFE">
        <w:rPr>
          <w:rFonts w:cstheme="minorHAnsi"/>
          <w:lang w:val="en"/>
        </w:rPr>
        <w:t>id</w:t>
      </w:r>
      <w:r>
        <w:rPr>
          <w:rFonts w:cstheme="minorHAnsi"/>
          <w:lang w:val="en"/>
        </w:rPr>
        <w:t xml:space="preserve"> within 30 days; anyone inter</w:t>
      </w:r>
      <w:r w:rsidR="00597EFE">
        <w:rPr>
          <w:rFonts w:cstheme="minorHAnsi"/>
          <w:lang w:val="en"/>
        </w:rPr>
        <w:t>e</w:t>
      </w:r>
      <w:r>
        <w:rPr>
          <w:rFonts w:cstheme="minorHAnsi"/>
          <w:lang w:val="en"/>
        </w:rPr>
        <w:t xml:space="preserve">sted in buying </w:t>
      </w:r>
      <w:r w:rsidR="00597EFE">
        <w:rPr>
          <w:rFonts w:cstheme="minorHAnsi"/>
          <w:lang w:val="en"/>
        </w:rPr>
        <w:t xml:space="preserve">her </w:t>
      </w:r>
      <w:r>
        <w:rPr>
          <w:rFonts w:cstheme="minorHAnsi"/>
          <w:lang w:val="en"/>
        </w:rPr>
        <w:t xml:space="preserve">shares </w:t>
      </w:r>
      <w:r w:rsidR="00597EFE">
        <w:rPr>
          <w:rFonts w:cstheme="minorHAnsi"/>
          <w:lang w:val="en"/>
        </w:rPr>
        <w:t>(</w:t>
      </w:r>
      <w:r>
        <w:rPr>
          <w:rFonts w:cstheme="minorHAnsi"/>
          <w:lang w:val="en"/>
        </w:rPr>
        <w:t>~$500</w:t>
      </w:r>
      <w:r w:rsidR="00597EFE">
        <w:rPr>
          <w:rFonts w:cstheme="minorHAnsi"/>
          <w:lang w:val="en"/>
        </w:rPr>
        <w:t>) should contact Betsy</w:t>
      </w:r>
    </w:p>
    <w:p w:rsidR="00210734" w:rsidRDefault="00FD1447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>
        <w:rPr>
          <w:rFonts w:cstheme="minorHAnsi"/>
          <w:lang w:val="en"/>
        </w:rPr>
        <w:t>New follower for CVS - Dene</w:t>
      </w:r>
    </w:p>
    <w:p w:rsidR="00210734" w:rsidRDefault="00FD1447">
      <w:pPr>
        <w:pStyle w:val="ListParagraph"/>
        <w:widowControl w:val="0"/>
        <w:numPr>
          <w:ilvl w:val="0"/>
          <w:numId w:val="3"/>
        </w:numPr>
        <w:spacing w:after="0" w:line="240" w:lineRule="auto"/>
      </w:pPr>
      <w:r>
        <w:rPr>
          <w:rFonts w:cstheme="minorHAnsi"/>
          <w:lang w:val="en"/>
        </w:rPr>
        <w:t xml:space="preserve">June </w:t>
      </w:r>
      <w:r>
        <w:rPr>
          <w:rFonts w:cstheme="minorHAnsi"/>
          <w:lang w:val="en"/>
        </w:rPr>
        <w:t xml:space="preserve">16 meeting at the </w:t>
      </w:r>
      <w:proofErr w:type="spellStart"/>
      <w:r>
        <w:rPr>
          <w:rFonts w:cstheme="minorHAnsi"/>
          <w:lang w:val="en"/>
        </w:rPr>
        <w:t>Jacobsens</w:t>
      </w:r>
      <w:proofErr w:type="spellEnd"/>
      <w:r>
        <w:rPr>
          <w:rFonts w:cstheme="minorHAnsi"/>
          <w:lang w:val="en"/>
        </w:rPr>
        <w:t xml:space="preserve">’ </w:t>
      </w:r>
      <w:r w:rsidR="00597EFE">
        <w:rPr>
          <w:rFonts w:cstheme="minorHAnsi"/>
          <w:lang w:val="en"/>
        </w:rPr>
        <w:t>–</w:t>
      </w:r>
      <w:r>
        <w:rPr>
          <w:rFonts w:cstheme="minorHAnsi"/>
          <w:lang w:val="en"/>
        </w:rPr>
        <w:t xml:space="preserve"> </w:t>
      </w:r>
      <w:r w:rsidR="00597EFE">
        <w:rPr>
          <w:rFonts w:cstheme="minorHAnsi"/>
          <w:lang w:val="en"/>
        </w:rPr>
        <w:t>contributions by attendees requested</w:t>
      </w:r>
    </w:p>
    <w:p w:rsidR="00210734" w:rsidRDefault="00210734">
      <w:pPr>
        <w:widowControl w:val="0"/>
        <w:tabs>
          <w:tab w:val="left" w:pos="994"/>
        </w:tabs>
        <w:spacing w:after="0" w:line="240" w:lineRule="auto"/>
        <w:rPr>
          <w:b/>
          <w:bCs/>
          <w:u w:val="single"/>
          <w:lang w:val="en"/>
        </w:rPr>
      </w:pPr>
    </w:p>
    <w:p w:rsidR="00210734" w:rsidRDefault="00FD1447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Education:</w:t>
      </w:r>
      <w:r w:rsidR="00597EFE">
        <w:rPr>
          <w:bCs/>
          <w:lang w:val="en"/>
        </w:rPr>
        <w:t xml:space="preserve"> Harrison: Investment Psy</w:t>
      </w:r>
      <w:r>
        <w:rPr>
          <w:bCs/>
          <w:lang w:val="en"/>
        </w:rPr>
        <w:t>c</w:t>
      </w:r>
      <w:r w:rsidR="00597EFE">
        <w:rPr>
          <w:bCs/>
          <w:lang w:val="en"/>
        </w:rPr>
        <w:t>h</w:t>
      </w:r>
      <w:r>
        <w:rPr>
          <w:bCs/>
          <w:lang w:val="en"/>
        </w:rPr>
        <w:t>ology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Charles McKay “Extraordinary Popular Delusions and the Madness  of crowds” - 1840</w:t>
      </w:r>
    </w:p>
    <w:p w:rsidR="00210734" w:rsidRDefault="00597EFE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F</w:t>
      </w:r>
      <w:r w:rsidR="00FD1447">
        <w:rPr>
          <w:bCs/>
          <w:lang w:val="en"/>
        </w:rPr>
        <w:t>irst three chapters are important rel</w:t>
      </w:r>
      <w:r w:rsidR="00FD1447">
        <w:rPr>
          <w:bCs/>
          <w:lang w:val="en"/>
        </w:rPr>
        <w:t>ating to financial decisions</w:t>
      </w:r>
    </w:p>
    <w:p w:rsidR="00210734" w:rsidRDefault="0085145C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F</w:t>
      </w:r>
      <w:r w:rsidR="00FD1447">
        <w:rPr>
          <w:bCs/>
          <w:lang w:val="en"/>
        </w:rPr>
        <w:t>ive stages</w:t>
      </w:r>
      <w:r>
        <w:rPr>
          <w:bCs/>
          <w:lang w:val="en"/>
        </w:rPr>
        <w:t xml:space="preserve"> of a bubble</w:t>
      </w:r>
      <w:r w:rsidR="00FD1447">
        <w:rPr>
          <w:bCs/>
          <w:lang w:val="en"/>
        </w:rPr>
        <w:t xml:space="preserve">: </w:t>
      </w:r>
      <w:r>
        <w:rPr>
          <w:bCs/>
          <w:lang w:val="en"/>
        </w:rPr>
        <w:t>Displacement, Boom, Euphoria, Profit Taking, Panic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lastRenderedPageBreak/>
        <w:t>“The Tulip</w:t>
      </w:r>
      <w:r w:rsidR="0085145C">
        <w:rPr>
          <w:bCs/>
          <w:lang w:val="en"/>
        </w:rPr>
        <w:t xml:space="preserve"> M</w:t>
      </w:r>
      <w:r>
        <w:rPr>
          <w:bCs/>
          <w:lang w:val="en"/>
        </w:rPr>
        <w:t>ania” - economic bubbles and the Greate</w:t>
      </w:r>
      <w:r w:rsidR="0085145C">
        <w:rPr>
          <w:bCs/>
          <w:lang w:val="en"/>
        </w:rPr>
        <w:t xml:space="preserve">r Fool theory – </w:t>
      </w:r>
      <w:r>
        <w:rPr>
          <w:bCs/>
          <w:lang w:val="en"/>
        </w:rPr>
        <w:t xml:space="preserve">John Maynard Keynes – </w:t>
      </w:r>
      <w:r w:rsidR="0085145C">
        <w:rPr>
          <w:bCs/>
          <w:lang w:val="en"/>
        </w:rPr>
        <w:t>“T</w:t>
      </w:r>
      <w:r>
        <w:rPr>
          <w:bCs/>
          <w:lang w:val="en"/>
        </w:rPr>
        <w:t>he markets can stay</w:t>
      </w:r>
      <w:r w:rsidR="0085145C">
        <w:rPr>
          <w:bCs/>
          <w:lang w:val="en"/>
        </w:rPr>
        <w:t xml:space="preserve"> irrational </w:t>
      </w:r>
      <w:r>
        <w:rPr>
          <w:bCs/>
          <w:lang w:val="en"/>
        </w:rPr>
        <w:t>longer than you can stay solvent</w:t>
      </w:r>
      <w:r w:rsidR="0085145C">
        <w:rPr>
          <w:bCs/>
          <w:lang w:val="en"/>
        </w:rPr>
        <w:t>.</w:t>
      </w:r>
      <w:r>
        <w:rPr>
          <w:bCs/>
          <w:lang w:val="en"/>
        </w:rPr>
        <w:t>”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1635 Netherlands – rare tulip worth more </w:t>
      </w:r>
      <w:r>
        <w:rPr>
          <w:bCs/>
          <w:lang w:val="en"/>
        </w:rPr>
        <w:t>than 12 Ac of land; 1637 – price collapsed, pricing regarded as gambling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Bernard Baruch cited this book in the 1929 crash, </w:t>
      </w:r>
      <w:r w:rsidR="0085145C">
        <w:rPr>
          <w:bCs/>
          <w:lang w:val="en"/>
        </w:rPr>
        <w:t xml:space="preserve">Harrison recalled the </w:t>
      </w:r>
      <w:r>
        <w:rPr>
          <w:bCs/>
          <w:lang w:val="en"/>
        </w:rPr>
        <w:t>1000:1 reverse split of Cities Service</w:t>
      </w:r>
    </w:p>
    <w:p w:rsidR="00210734" w:rsidRDefault="0085145C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R</w:t>
      </w:r>
      <w:r w:rsidR="00FD1447">
        <w:rPr>
          <w:bCs/>
          <w:lang w:val="en"/>
        </w:rPr>
        <w:t>ecent bubbles in minerals, real estate, stocks, 1995-2001 dot com bubble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2011-2018 </w:t>
      </w:r>
      <w:proofErr w:type="spellStart"/>
      <w:r>
        <w:rPr>
          <w:bCs/>
          <w:lang w:val="en"/>
        </w:rPr>
        <w:t>Bitcoin</w:t>
      </w:r>
      <w:proofErr w:type="spellEnd"/>
      <w:r>
        <w:rPr>
          <w:bCs/>
          <w:lang w:val="en"/>
        </w:rPr>
        <w:t xml:space="preserve"> bu</w:t>
      </w:r>
      <w:r w:rsidR="0085145C">
        <w:rPr>
          <w:bCs/>
          <w:lang w:val="en"/>
        </w:rPr>
        <w:t>bble? - c</w:t>
      </w:r>
      <w:r>
        <w:rPr>
          <w:bCs/>
          <w:lang w:val="en"/>
        </w:rPr>
        <w:t>ould cause systemic problems even if you invest in it or not</w:t>
      </w:r>
    </w:p>
    <w:p w:rsidR="00210734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Buffet said in 1984 that markets are not efficient because of herd mentality – prices are as much emotion as reality</w:t>
      </w:r>
    </w:p>
    <w:p w:rsidR="0085145C" w:rsidRDefault="00FD1447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Auto bubble in 201</w:t>
      </w:r>
      <w:r w:rsidR="0085145C">
        <w:rPr>
          <w:bCs/>
          <w:lang w:val="en"/>
        </w:rPr>
        <w:t>0 - $21B in newly delinquent loa</w:t>
      </w:r>
      <w:r>
        <w:rPr>
          <w:bCs/>
          <w:lang w:val="en"/>
        </w:rPr>
        <w:t>ns, $1.1T outstanding</w:t>
      </w:r>
      <w:r w:rsidR="0085145C">
        <w:rPr>
          <w:bCs/>
          <w:lang w:val="en"/>
        </w:rPr>
        <w:t xml:space="preserve"> loans</w:t>
      </w:r>
    </w:p>
    <w:p w:rsidR="00C14AA3" w:rsidRDefault="00FD1447" w:rsidP="00371BE9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 w:rsidRPr="0085145C">
        <w:rPr>
          <w:bCs/>
          <w:lang w:val="en"/>
        </w:rPr>
        <w:t xml:space="preserve">2018 </w:t>
      </w:r>
      <w:r w:rsidR="0085145C">
        <w:rPr>
          <w:bCs/>
          <w:lang w:val="en"/>
        </w:rPr>
        <w:t>–</w:t>
      </w:r>
      <w:r w:rsidRPr="0085145C">
        <w:rPr>
          <w:bCs/>
          <w:lang w:val="en"/>
        </w:rPr>
        <w:t xml:space="preserve"> </w:t>
      </w:r>
      <w:r w:rsidR="0085145C">
        <w:rPr>
          <w:bCs/>
          <w:lang w:val="en"/>
        </w:rPr>
        <w:t xml:space="preserve">An </w:t>
      </w:r>
      <w:r w:rsidRPr="0085145C">
        <w:rPr>
          <w:bCs/>
          <w:lang w:val="en"/>
        </w:rPr>
        <w:t>everything bubble</w:t>
      </w:r>
      <w:r w:rsidR="0085145C" w:rsidRPr="0085145C">
        <w:rPr>
          <w:bCs/>
          <w:lang w:val="en"/>
        </w:rPr>
        <w:t>?</w:t>
      </w:r>
      <w:r w:rsidR="00C14AA3">
        <w:rPr>
          <w:bCs/>
          <w:lang w:val="en"/>
        </w:rPr>
        <w:t>,</w:t>
      </w:r>
      <w:r w:rsidR="00C14AA3">
        <w:rPr>
          <w:bCs/>
          <w:lang w:val="en"/>
        </w:rPr>
        <w:t xml:space="preserve"> additional bubbles in real estate, corporate credit, stock market, </w:t>
      </w:r>
      <w:proofErr w:type="spellStart"/>
      <w:r w:rsidR="00C14AA3">
        <w:rPr>
          <w:bCs/>
          <w:lang w:val="en"/>
        </w:rPr>
        <w:t>cryptocurrency</w:t>
      </w:r>
      <w:proofErr w:type="spellEnd"/>
      <w:r w:rsidR="00C14AA3">
        <w:rPr>
          <w:bCs/>
          <w:lang w:val="en"/>
        </w:rPr>
        <w:t>, and stock indexing</w:t>
      </w:r>
      <w:r w:rsidR="00C14AA3" w:rsidRPr="0085145C">
        <w:rPr>
          <w:bCs/>
          <w:lang w:val="en"/>
        </w:rPr>
        <w:t xml:space="preserve"> </w:t>
      </w:r>
    </w:p>
    <w:p w:rsidR="0085145C" w:rsidRPr="0085145C" w:rsidRDefault="0085145C" w:rsidP="00371BE9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proofErr w:type="spellStart"/>
      <w:r w:rsidRPr="0085145C">
        <w:rPr>
          <w:bCs/>
          <w:lang w:val="en"/>
        </w:rPr>
        <w:t>Bitcoin</w:t>
      </w:r>
      <w:proofErr w:type="spellEnd"/>
      <w:r w:rsidRPr="0085145C">
        <w:rPr>
          <w:bCs/>
          <w:lang w:val="en"/>
        </w:rPr>
        <w:t xml:space="preserve"> has large numbers of people, trading a speculative, highly volatile asset, with borrowed money.</w:t>
      </w:r>
    </w:p>
    <w:p w:rsidR="00210734" w:rsidRDefault="0085145C">
      <w:pPr>
        <w:widowControl w:val="0"/>
        <w:numPr>
          <w:ilvl w:val="0"/>
          <w:numId w:val="6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Investors n</w:t>
      </w:r>
      <w:r w:rsidR="00FD1447">
        <w:rPr>
          <w:bCs/>
          <w:lang w:val="en"/>
        </w:rPr>
        <w:t xml:space="preserve">eed to understand how much the stock price is </w:t>
      </w:r>
      <w:r>
        <w:rPr>
          <w:bCs/>
          <w:lang w:val="en"/>
        </w:rPr>
        <w:t>determined by fundamentals vs. c</w:t>
      </w:r>
      <w:r w:rsidR="00FD1447">
        <w:rPr>
          <w:bCs/>
          <w:lang w:val="en"/>
        </w:rPr>
        <w:t>rowd psychology</w:t>
      </w:r>
    </w:p>
    <w:p w:rsidR="00210734" w:rsidRDefault="00210734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</w:p>
    <w:p w:rsidR="00210734" w:rsidRDefault="00FD1447">
      <w:pPr>
        <w:widowControl w:val="0"/>
        <w:tabs>
          <w:tab w:val="left" w:pos="994"/>
        </w:tabs>
        <w:spacing w:after="0" w:line="240" w:lineRule="auto"/>
      </w:pPr>
      <w:r>
        <w:rPr>
          <w:b/>
          <w:bCs/>
          <w:u w:val="single"/>
          <w:lang w:val="en"/>
        </w:rPr>
        <w:t>New Stock Pr</w:t>
      </w:r>
      <w:r>
        <w:rPr>
          <w:b/>
          <w:bCs/>
          <w:u w:val="single"/>
          <w:lang w:val="en"/>
        </w:rPr>
        <w:t>esentation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Gerry: Analog Devices (ADI), </w:t>
      </w:r>
    </w:p>
    <w:p w:rsidR="00210734" w:rsidRDefault="00C14AA3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looked </w:t>
      </w:r>
      <w:r w:rsidR="00FD1447">
        <w:rPr>
          <w:bCs/>
          <w:lang w:val="en"/>
        </w:rPr>
        <w:t xml:space="preserve">Skyworks, Applied Materials, Digital Devices – technology sector – looked for </w:t>
      </w:r>
      <w:r>
        <w:rPr>
          <w:bCs/>
          <w:lang w:val="en"/>
        </w:rPr>
        <w:t xml:space="preserve">a </w:t>
      </w:r>
      <w:r w:rsidR="00FD1447">
        <w:rPr>
          <w:bCs/>
          <w:lang w:val="en"/>
        </w:rPr>
        <w:t xml:space="preserve">stock under $100 that </w:t>
      </w:r>
      <w:r>
        <w:rPr>
          <w:bCs/>
          <w:lang w:val="en"/>
        </w:rPr>
        <w:t>was</w:t>
      </w:r>
      <w:r w:rsidR="00FD1447">
        <w:rPr>
          <w:bCs/>
          <w:lang w:val="en"/>
        </w:rPr>
        <w:t xml:space="preserve"> up/str</w:t>
      </w:r>
      <w:r>
        <w:rPr>
          <w:bCs/>
          <w:lang w:val="en"/>
        </w:rPr>
        <w:t>a</w:t>
      </w:r>
      <w:r w:rsidR="00FD1447">
        <w:rPr>
          <w:bCs/>
          <w:lang w:val="en"/>
        </w:rPr>
        <w:t>ight/pa</w:t>
      </w:r>
      <w:r>
        <w:rPr>
          <w:bCs/>
          <w:lang w:val="en"/>
        </w:rPr>
        <w:t>rallel</w:t>
      </w:r>
    </w:p>
    <w:p w:rsidR="00210734" w:rsidRDefault="00FD1447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Apple devel</w:t>
      </w:r>
      <w:r w:rsidR="00C14AA3">
        <w:rPr>
          <w:bCs/>
          <w:lang w:val="en"/>
        </w:rPr>
        <w:t>o</w:t>
      </w:r>
      <w:r>
        <w:rPr>
          <w:bCs/>
          <w:lang w:val="en"/>
        </w:rPr>
        <w:t>ping own processor, movi</w:t>
      </w:r>
      <w:r>
        <w:rPr>
          <w:bCs/>
          <w:lang w:val="en"/>
        </w:rPr>
        <w:t>ng production of components on-shore; one of the best buys for BIs</w:t>
      </w:r>
    </w:p>
    <w:p w:rsidR="00210734" w:rsidRDefault="00FD1447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ADI best of the lot – PEG ratio is 30-insanely high</w:t>
      </w:r>
    </w:p>
    <w:p w:rsidR="00210734" w:rsidRDefault="00FD1447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Gerry’s SSG+: revenue growth-9.9%, earnings-9.4 (analyst </w:t>
      </w:r>
      <w:proofErr w:type="gramStart"/>
      <w:r>
        <w:rPr>
          <w:bCs/>
          <w:lang w:val="en"/>
        </w:rPr>
        <w:t>est</w:t>
      </w:r>
      <w:proofErr w:type="gramEnd"/>
      <w:r>
        <w:rPr>
          <w:bCs/>
          <w:lang w:val="en"/>
        </w:rPr>
        <w:t>.)</w:t>
      </w:r>
    </w:p>
    <w:p w:rsidR="00210734" w:rsidRDefault="00C14AA3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ADI is </w:t>
      </w:r>
      <w:r w:rsidR="00FD1447">
        <w:rPr>
          <w:bCs/>
          <w:lang w:val="en"/>
        </w:rPr>
        <w:t>being studied by a lot of BI members but margin is eroding – Walmart suppl</w:t>
      </w:r>
      <w:r w:rsidR="00FD1447">
        <w:rPr>
          <w:bCs/>
          <w:lang w:val="en"/>
        </w:rPr>
        <w:t>ier effect, Apple is a major customer and can squeeze pricing based on volume</w:t>
      </w:r>
    </w:p>
    <w:p w:rsidR="00210734" w:rsidRDefault="00C14AA3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>
        <w:rPr>
          <w:bCs/>
          <w:lang w:val="en"/>
        </w:rPr>
        <w:t>S</w:t>
      </w:r>
      <w:r w:rsidR="00FD1447">
        <w:rPr>
          <w:bCs/>
          <w:lang w:val="en"/>
        </w:rPr>
        <w:t>emiconductor/electronics industry being hurt by Chinese copies of IP</w:t>
      </w:r>
    </w:p>
    <w:p w:rsidR="00210734" w:rsidRPr="00C14AA3" w:rsidRDefault="00C14AA3" w:rsidP="00D94B24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rPr>
          <w:bCs/>
          <w:lang w:val="en"/>
        </w:rPr>
      </w:pPr>
      <w:r w:rsidRPr="00C14AA3">
        <w:rPr>
          <w:bCs/>
          <w:lang w:val="en"/>
        </w:rPr>
        <w:t>Online SSG+ during the meeting was inconclusive</w:t>
      </w:r>
    </w:p>
    <w:p w:rsidR="00210734" w:rsidRPr="00AA52AA" w:rsidRDefault="00210734">
      <w:pPr>
        <w:widowControl w:val="0"/>
        <w:tabs>
          <w:tab w:val="left" w:pos="994"/>
        </w:tabs>
        <w:spacing w:after="0" w:line="240" w:lineRule="auto"/>
        <w:rPr>
          <w:bCs/>
          <w:lang w:val="en"/>
        </w:rPr>
      </w:pPr>
    </w:p>
    <w:p w:rsidR="00210734" w:rsidRPr="00AA52AA" w:rsidRDefault="00FD1447">
      <w:pPr>
        <w:spacing w:after="0" w:line="240" w:lineRule="auto"/>
      </w:pPr>
      <w:r w:rsidRPr="00AA52AA">
        <w:rPr>
          <w:b/>
          <w:u w:val="single"/>
        </w:rPr>
        <w:t>Close of the Bell</w:t>
      </w:r>
      <w:r w:rsidRPr="00AA52AA">
        <w:t>: Marty’s report:</w:t>
      </w:r>
      <w:r w:rsidRPr="00AA52AA">
        <w:rPr>
          <w:rFonts w:eastAsia="Times New Roman"/>
        </w:rPr>
        <w:t xml:space="preserve"> </w:t>
      </w:r>
      <w:r w:rsidRPr="00AA52AA">
        <w:rPr>
          <w:rFonts w:eastAsia="Times New Roman"/>
          <w:iCs/>
        </w:rPr>
        <w:t xml:space="preserve">Six companies are in the BUY </w:t>
      </w:r>
      <w:r w:rsidR="00C14AA3" w:rsidRPr="00AA52AA">
        <w:rPr>
          <w:rFonts w:eastAsia="Times New Roman"/>
          <w:iCs/>
        </w:rPr>
        <w:t xml:space="preserve">zone. APOG, CERN, CVS, FAST, LKQ, </w:t>
      </w:r>
      <w:r w:rsidR="00AA52AA" w:rsidRPr="00AA52AA">
        <w:rPr>
          <w:rFonts w:eastAsia="Times New Roman"/>
          <w:iCs/>
        </w:rPr>
        <w:t xml:space="preserve">SBUX, </w:t>
      </w:r>
      <w:r w:rsidR="00C14AA3" w:rsidRPr="00AA52AA">
        <w:rPr>
          <w:rFonts w:eastAsia="Times New Roman"/>
          <w:iCs/>
        </w:rPr>
        <w:t xml:space="preserve">and TSCO.  This </w:t>
      </w:r>
      <w:r w:rsidRPr="00AA52AA">
        <w:rPr>
          <w:rFonts w:eastAsia="Times New Roman"/>
          <w:iCs/>
        </w:rPr>
        <w:t xml:space="preserve">is </w:t>
      </w:r>
      <w:r w:rsidRPr="00AA52AA">
        <w:rPr>
          <w:rFonts w:eastAsia="Times New Roman"/>
          <w:iCs/>
        </w:rPr>
        <w:t>based on the watcher S</w:t>
      </w:r>
      <w:r w:rsidR="00C14AA3" w:rsidRPr="00AA52AA">
        <w:rPr>
          <w:rFonts w:eastAsia="Times New Roman"/>
          <w:iCs/>
        </w:rPr>
        <w:t xml:space="preserve">SG’s. </w:t>
      </w:r>
      <w:r w:rsidR="00AA52AA" w:rsidRPr="00AA52AA">
        <w:rPr>
          <w:rFonts w:eastAsia="Times New Roman"/>
          <w:iCs/>
        </w:rPr>
        <w:t xml:space="preserve">CVS, SBUX, TSCO </w:t>
      </w:r>
      <w:r w:rsidRPr="00AA52AA">
        <w:rPr>
          <w:rFonts w:eastAsia="Times New Roman"/>
          <w:iCs/>
        </w:rPr>
        <w:t>and APOG are in the Manifest Sweet Spot and are Nicholson Triple Plays.</w:t>
      </w:r>
    </w:p>
    <w:p w:rsidR="00210734" w:rsidRPr="00AA52AA" w:rsidRDefault="00210734">
      <w:pPr>
        <w:spacing w:after="0" w:line="240" w:lineRule="auto"/>
        <w:rPr>
          <w:rFonts w:eastAsia="Times New Roman"/>
        </w:rPr>
      </w:pPr>
    </w:p>
    <w:p w:rsidR="00210734" w:rsidRPr="00AA52AA" w:rsidRDefault="00FD1447">
      <w:pPr>
        <w:widowControl w:val="0"/>
        <w:spacing w:after="0" w:line="240" w:lineRule="auto"/>
        <w:rPr>
          <w:b/>
          <w:u w:val="single"/>
        </w:rPr>
      </w:pPr>
      <w:r w:rsidRPr="00AA52AA">
        <w:tab/>
      </w:r>
    </w:p>
    <w:p w:rsidR="00210734" w:rsidRDefault="00FD1447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bCs/>
          <w:u w:val="single"/>
          <w:lang w:val="en"/>
        </w:rPr>
        <w:t>Portfolio Review:</w:t>
      </w:r>
      <w:r>
        <w:rPr>
          <w:rFonts w:cstheme="minorHAnsi"/>
          <w:lang w:val="en"/>
        </w:rPr>
        <w:t xml:space="preserve"> </w:t>
      </w:r>
    </w:p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70"/>
      </w:tblGrid>
      <w:tr w:rsidR="00C14AA3" w:rsidRPr="00EE72C6" w:rsidTr="00E26D0A">
        <w:trPr>
          <w:trHeight w:val="403"/>
          <w:jc w:val="center"/>
        </w:trPr>
        <w:tc>
          <w:tcPr>
            <w:tcW w:w="233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E72C6">
              <w:rPr>
                <w:rFonts w:eastAsia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C14AA3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Apogee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APOG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C14AA3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FFFFFF" w:themeFill="background1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shd w:val="clear" w:color="auto" w:fill="FFFFFF" w:themeFill="background1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10.9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Sep.</w:t>
            </w:r>
          </w:p>
        </w:tc>
      </w:tr>
      <w:tr w:rsidR="00C14AA3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C14AA3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Cerner 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CERN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Gregory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EE72C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bottom"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C14AA3" w:rsidRPr="00EE72C6" w:rsidRDefault="00C14AA3" w:rsidP="00E26D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CTSH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CVS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14AA3">
              <w:rPr>
                <w:rFonts w:eastAsia="Times New Roman"/>
                <w:strike/>
                <w:sz w:val="20"/>
                <w:szCs w:val="20"/>
              </w:rPr>
              <w:t>Latisha</w:t>
            </w:r>
            <w:r>
              <w:rPr>
                <w:rFonts w:eastAsia="Times New Roman"/>
                <w:sz w:val="20"/>
                <w:szCs w:val="20"/>
              </w:rPr>
              <w:t>-Dene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0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Sep</w:t>
            </w:r>
          </w:p>
        </w:tc>
      </w:tr>
      <w:tr w:rsidR="00AA52AA" w:rsidRPr="00EE72C6" w:rsidTr="00E26D0A">
        <w:trPr>
          <w:trHeight w:val="261"/>
          <w:jc w:val="center"/>
        </w:trPr>
        <w:tc>
          <w:tcPr>
            <w:tcW w:w="233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EE72C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Dec</w:t>
            </w:r>
          </w:p>
        </w:tc>
      </w:tr>
      <w:tr w:rsidR="00AA52AA" w:rsidRPr="00EE72C6" w:rsidTr="00E26D0A">
        <w:trPr>
          <w:trHeight w:val="170"/>
          <w:jc w:val="center"/>
        </w:trPr>
        <w:tc>
          <w:tcPr>
            <w:tcW w:w="10880" w:type="dxa"/>
            <w:gridSpan w:val="8"/>
            <w:shd w:val="clear" w:color="auto" w:fill="auto"/>
            <w:noWrap/>
            <w:vAlign w:val="center"/>
          </w:tcPr>
          <w:p w:rsidR="00AA52AA" w:rsidRPr="00EE72C6" w:rsidRDefault="00AA52AA" w:rsidP="00AA52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72C6">
              <w:rPr>
                <w:rFonts w:eastAsia="Times New Roman"/>
                <w:sz w:val="20"/>
                <w:szCs w:val="20"/>
              </w:rPr>
              <w:t>Pounce/Watch List</w:t>
            </w:r>
          </w:p>
        </w:tc>
      </w:tr>
    </w:tbl>
    <w:p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AA52AA" w:rsidRDefault="00AA52AA">
      <w:pPr>
        <w:spacing w:after="0" w:line="240" w:lineRule="auto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br w:type="page"/>
      </w:r>
    </w:p>
    <w:p w:rsidR="00210734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lastRenderedPageBreak/>
        <w:t>Buy/Sell Decisions:</w:t>
      </w:r>
      <w:r>
        <w:rPr>
          <w:b/>
          <w:bCs/>
          <w:lang w:val="en"/>
        </w:rPr>
        <w:t xml:space="preserve"> </w:t>
      </w:r>
      <w:r>
        <w:rPr>
          <w:bCs/>
          <w:lang w:val="en"/>
        </w:rPr>
        <w:t xml:space="preserve">(motion/second: action, </w:t>
      </w:r>
      <w:r>
        <w:rPr>
          <w:bCs/>
          <w:lang w:val="en"/>
        </w:rPr>
        <w:t>type, yes/no/abstain)</w:t>
      </w:r>
    </w:p>
    <w:p w:rsidR="00210734" w:rsidRDefault="00FD1447">
      <w:pPr>
        <w:widowControl w:val="0"/>
        <w:numPr>
          <w:ilvl w:val="0"/>
          <w:numId w:val="7"/>
        </w:numPr>
        <w:spacing w:after="0" w:line="240" w:lineRule="auto"/>
        <w:rPr>
          <w:lang w:val="en"/>
        </w:rPr>
      </w:pPr>
      <w:r>
        <w:rPr>
          <w:lang w:val="en"/>
        </w:rPr>
        <w:t>Dene/Marty: buy 15sh of SBUX @window; 11/3/0 - passed</w:t>
      </w:r>
    </w:p>
    <w:p w:rsidR="00210734" w:rsidRDefault="00FD1447">
      <w:pPr>
        <w:widowControl w:val="0"/>
        <w:numPr>
          <w:ilvl w:val="0"/>
          <w:numId w:val="7"/>
        </w:numPr>
        <w:spacing w:after="0" w:line="240" w:lineRule="auto"/>
        <w:rPr>
          <w:lang w:val="en"/>
        </w:rPr>
      </w:pPr>
      <w:r>
        <w:rPr>
          <w:lang w:val="en"/>
        </w:rPr>
        <w:t>Nelson/Dene: buy 15sh TSCO @limit of $65; 11/2/1 - passed</w:t>
      </w:r>
    </w:p>
    <w:p w:rsidR="00210734" w:rsidRDefault="00FD1447">
      <w:pPr>
        <w:widowControl w:val="0"/>
        <w:numPr>
          <w:ilvl w:val="0"/>
          <w:numId w:val="7"/>
        </w:numPr>
        <w:spacing w:after="0" w:line="240" w:lineRule="auto"/>
        <w:rPr>
          <w:lang w:val="en"/>
        </w:rPr>
      </w:pPr>
      <w:r>
        <w:rPr>
          <w:lang w:val="en"/>
        </w:rPr>
        <w:t>Marty/Dene: buy 15sh of CVS @window: 7/7/0 - failed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p w:rsidR="00210734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/>
          <w:bCs/>
          <w:u w:val="single"/>
          <w:lang w:val="en"/>
        </w:rPr>
        <w:t>Next Meeting</w:t>
      </w:r>
      <w:r>
        <w:rPr>
          <w:b/>
          <w:bCs/>
          <w:lang w:val="en"/>
        </w:rPr>
        <w:t>:</w:t>
      </w:r>
      <w:r>
        <w:rPr>
          <w:bCs/>
          <w:lang w:val="en"/>
        </w:rPr>
        <w:t xml:space="preserve"> </w:t>
      </w:r>
      <w:r>
        <w:rPr>
          <w:bCs/>
          <w:lang w:val="en"/>
        </w:rPr>
        <w:tab/>
      </w:r>
    </w:p>
    <w:p w:rsidR="00210734" w:rsidRDefault="00FD1447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bCs/>
          <w:lang w:val="en"/>
        </w:rPr>
      </w:pPr>
      <w:r>
        <w:rPr>
          <w:bCs/>
          <w:lang w:val="en"/>
        </w:rPr>
        <w:t>Mid-month Study Group: Sat, May 5, on-line; Reg</w:t>
      </w:r>
      <w:r>
        <w:rPr>
          <w:bCs/>
          <w:lang w:val="en"/>
        </w:rPr>
        <w:t>ular meeting: Sat, May 19, 9:45-11:45AM; Room C</w:t>
      </w:r>
    </w:p>
    <w:p w:rsidR="00210734" w:rsidRDefault="00210734">
      <w:pPr>
        <w:pStyle w:val="ListParagraph"/>
        <w:widowControl w:val="0"/>
        <w:spacing w:after="0" w:line="240" w:lineRule="auto"/>
        <w:rPr>
          <w:bCs/>
          <w:lang w:val="en"/>
        </w:rPr>
      </w:pPr>
      <w:bookmarkStart w:id="0" w:name="_GoBack"/>
      <w:bookmarkEnd w:id="0"/>
    </w:p>
    <w:p w:rsidR="00210734" w:rsidRPr="00AA52AA" w:rsidRDefault="00FD1447">
      <w:pPr>
        <w:widowControl w:val="0"/>
        <w:spacing w:after="0" w:line="240" w:lineRule="auto"/>
        <w:rPr>
          <w:b/>
          <w:bCs/>
          <w:lang w:val="en"/>
        </w:rPr>
      </w:pPr>
      <w:r>
        <w:rPr>
          <w:b/>
          <w:bCs/>
          <w:u w:val="single"/>
          <w:lang w:val="en"/>
        </w:rPr>
        <w:t>Education and Stock Presentation Sche</w:t>
      </w:r>
      <w:r w:rsidR="00AA52AA">
        <w:rPr>
          <w:b/>
          <w:bCs/>
          <w:u w:val="single"/>
          <w:lang w:val="en"/>
        </w:rPr>
        <w:t xml:space="preserve">dule for 2018/2019: </w:t>
      </w:r>
      <w:r w:rsidR="00AA52AA" w:rsidRPr="00AA52AA">
        <w:rPr>
          <w:bCs/>
          <w:lang w:val="en"/>
        </w:rPr>
        <w:t>Revised to reflect changes:</w:t>
      </w:r>
    </w:p>
    <w:p w:rsidR="00210734" w:rsidRDefault="00AA52AA">
      <w:pPr>
        <w:widowControl w:val="0"/>
        <w:spacing w:after="0" w:line="240" w:lineRule="auto"/>
        <w:rPr>
          <w:b/>
          <w:bCs/>
          <w:lang w:val="en"/>
        </w:rPr>
      </w:pPr>
      <w:r w:rsidRPr="00AA52AA">
        <w:drawing>
          <wp:inline distT="0" distB="0" distL="0" distR="0">
            <wp:extent cx="6858000" cy="199991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9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34" w:rsidRDefault="00210734">
      <w:pPr>
        <w:widowControl w:val="0"/>
        <w:spacing w:after="0" w:line="240" w:lineRule="auto"/>
        <w:rPr>
          <w:b/>
          <w:bCs/>
          <w:u w:val="single"/>
          <w:lang w:val="en"/>
        </w:rPr>
      </w:pPr>
    </w:p>
    <w:p w:rsidR="00210734" w:rsidRDefault="00FD1447">
      <w:pPr>
        <w:widowControl w:val="0"/>
        <w:spacing w:after="0" w:line="240" w:lineRule="auto"/>
      </w:pPr>
      <w:r>
        <w:rPr>
          <w:b/>
          <w:bCs/>
          <w:u w:val="single"/>
          <w:lang w:val="en"/>
        </w:rPr>
        <w:t>Adjourned:</w:t>
      </w:r>
      <w:r>
        <w:rPr>
          <w:b/>
          <w:bCs/>
          <w:lang w:val="en"/>
        </w:rPr>
        <w:t xml:space="preserve"> </w:t>
      </w:r>
      <w:r>
        <w:rPr>
          <w:bCs/>
          <w:lang w:val="en"/>
        </w:rPr>
        <w:t>by Rich at 11:53a</w:t>
      </w:r>
    </w:p>
    <w:p w:rsidR="00210734" w:rsidRDefault="00210734">
      <w:pPr>
        <w:widowControl w:val="0"/>
        <w:spacing w:after="0" w:line="240" w:lineRule="auto"/>
        <w:rPr>
          <w:bCs/>
          <w:lang w:val="en"/>
        </w:rPr>
      </w:pPr>
    </w:p>
    <w:p w:rsidR="00210734" w:rsidRDefault="00FD1447">
      <w:pPr>
        <w:widowControl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Submitted by Rich Alden, acting recording partner</w:t>
      </w: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p w:rsidR="00210734" w:rsidRDefault="00210734">
      <w:pPr>
        <w:widowControl w:val="0"/>
        <w:spacing w:after="0" w:line="240" w:lineRule="auto"/>
        <w:rPr>
          <w:lang w:val="en"/>
        </w:rPr>
      </w:pPr>
    </w:p>
    <w:p w:rsidR="00210734" w:rsidRDefault="00210734"/>
    <w:sectPr w:rsidR="00210734">
      <w:footerReference w:type="default" r:id="rId10"/>
      <w:pgSz w:w="12240" w:h="15840"/>
      <w:pgMar w:top="720" w:right="720" w:bottom="777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47" w:rsidRDefault="00FD1447">
      <w:pPr>
        <w:spacing w:after="0" w:line="240" w:lineRule="auto"/>
      </w:pPr>
      <w:r>
        <w:separator/>
      </w:r>
    </w:p>
  </w:endnote>
  <w:endnote w:type="continuationSeparator" w:id="0">
    <w:p w:rsidR="00FD1447" w:rsidRDefault="00FD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34" w:rsidRDefault="00FD144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AA52AA">
      <w:rPr>
        <w:noProof/>
      </w:rPr>
      <w:t>1</w:t>
    </w:r>
    <w:r>
      <w:fldChar w:fldCharType="end"/>
    </w:r>
  </w:p>
  <w:p w:rsidR="00210734" w:rsidRDefault="0021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47" w:rsidRDefault="00FD1447">
      <w:pPr>
        <w:spacing w:after="0" w:line="240" w:lineRule="auto"/>
      </w:pPr>
      <w:r>
        <w:separator/>
      </w:r>
    </w:p>
  </w:footnote>
  <w:footnote w:type="continuationSeparator" w:id="0">
    <w:p w:rsidR="00FD1447" w:rsidRDefault="00FD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34"/>
    <w:rsid w:val="00210734"/>
    <w:rsid w:val="00597EFE"/>
    <w:rsid w:val="005A0EB0"/>
    <w:rsid w:val="0085145C"/>
    <w:rsid w:val="00AA52AA"/>
    <w:rsid w:val="00C14AA3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08D7C-94ED-4590-8EDD-7D6132B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0604-7802-4594-BA41-11030981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RichA</cp:lastModifiedBy>
  <cp:revision>3</cp:revision>
  <cp:lastPrinted>2017-11-18T01:45:00Z</cp:lastPrinted>
  <dcterms:created xsi:type="dcterms:W3CDTF">2018-04-28T21:41:00Z</dcterms:created>
  <dcterms:modified xsi:type="dcterms:W3CDTF">2018-04-28T22:18:00Z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