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734" w:rsidRDefault="007361A8">
      <w:pPr>
        <w:widowControl w:val="0"/>
        <w:spacing w:after="0" w:line="240" w:lineRule="auto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Cincinnati Model Investment Club Minutes</w:t>
      </w:r>
    </w:p>
    <w:p w:rsidR="00210734" w:rsidRDefault="007361A8">
      <w:pPr>
        <w:widowControl w:val="0"/>
        <w:spacing w:after="0" w:line="240" w:lineRule="auto"/>
        <w:jc w:val="center"/>
      </w:pPr>
      <w:r>
        <w:rPr>
          <w:bCs/>
          <w:lang w:val="en"/>
        </w:rPr>
        <w:t>West Chester Mid-P</w:t>
      </w:r>
      <w:r w:rsidR="007216E3">
        <w:rPr>
          <w:bCs/>
          <w:lang w:val="en"/>
        </w:rPr>
        <w:t>ointe Library Boardroom – July 21</w:t>
      </w:r>
      <w:r>
        <w:rPr>
          <w:bCs/>
          <w:lang w:val="en"/>
        </w:rPr>
        <w:t>, 2018</w:t>
      </w:r>
    </w:p>
    <w:p w:rsidR="00210734" w:rsidRDefault="00210734">
      <w:pPr>
        <w:widowControl w:val="0"/>
        <w:spacing w:after="0" w:line="240" w:lineRule="auto"/>
        <w:rPr>
          <w:b/>
          <w:bCs/>
          <w:lang w:val="en"/>
        </w:rPr>
      </w:pPr>
    </w:p>
    <w:p w:rsidR="00210734" w:rsidRDefault="007361A8">
      <w:pPr>
        <w:widowControl w:val="0"/>
        <w:spacing w:after="0" w:line="240" w:lineRule="auto"/>
      </w:pPr>
      <w:r>
        <w:rPr>
          <w:b/>
          <w:bCs/>
          <w:u w:val="single"/>
          <w:lang w:val="en"/>
        </w:rPr>
        <w:t>Call to Order</w:t>
      </w:r>
      <w:r>
        <w:rPr>
          <w:b/>
          <w:bCs/>
          <w:lang w:val="en"/>
        </w:rPr>
        <w:t>:</w:t>
      </w:r>
      <w:r>
        <w:rPr>
          <w:bCs/>
          <w:lang w:val="en"/>
        </w:rPr>
        <w:t xml:space="preserve"> Presiding Partner Richard Alden</w:t>
      </w:r>
      <w:r>
        <w:rPr>
          <w:lang w:val="en"/>
        </w:rPr>
        <w:t xml:space="preserve"> cal</w:t>
      </w:r>
      <w:r w:rsidR="00372438">
        <w:rPr>
          <w:lang w:val="en"/>
        </w:rPr>
        <w:t>l</w:t>
      </w:r>
      <w:r w:rsidR="00CB59E4">
        <w:rPr>
          <w:lang w:val="en"/>
        </w:rPr>
        <w:t>ed the meeting to order at 9:45</w:t>
      </w:r>
      <w:r>
        <w:rPr>
          <w:lang w:val="en"/>
        </w:rPr>
        <w:t xml:space="preserve">a. Proxies were noted. </w:t>
      </w:r>
    </w:p>
    <w:p w:rsidR="00210734" w:rsidRPr="00CB59E4" w:rsidRDefault="00CB59E4">
      <w:pPr>
        <w:widowControl w:val="0"/>
        <w:spacing w:after="0" w:line="240" w:lineRule="auto"/>
      </w:pPr>
      <w:r>
        <w:rPr>
          <w:b/>
          <w:lang w:val="en"/>
        </w:rPr>
        <w:t xml:space="preserve">Guests in Person: </w:t>
      </w:r>
      <w:r w:rsidR="0067144B">
        <w:rPr>
          <w:lang w:val="en"/>
        </w:rPr>
        <w:t xml:space="preserve">Brandon Gum, Paul </w:t>
      </w:r>
      <w:proofErr w:type="spellStart"/>
      <w:r w:rsidR="0067144B">
        <w:rPr>
          <w:lang w:val="en"/>
        </w:rPr>
        <w:t>Pe</w:t>
      </w:r>
      <w:r>
        <w:rPr>
          <w:lang w:val="en"/>
        </w:rPr>
        <w:t>zzenti</w:t>
      </w:r>
      <w:proofErr w:type="spellEnd"/>
      <w:r w:rsidR="006E041F">
        <w:rPr>
          <w:lang w:val="en"/>
        </w:rPr>
        <w:t xml:space="preserve">, Cheryl </w:t>
      </w:r>
      <w:proofErr w:type="spellStart"/>
      <w:r w:rsidR="006E041F">
        <w:rPr>
          <w:lang w:val="en"/>
        </w:rPr>
        <w:t>Hargett</w:t>
      </w:r>
      <w:proofErr w:type="spellEnd"/>
      <w:r>
        <w:rPr>
          <w:lang w:val="en"/>
        </w:rPr>
        <w:t xml:space="preserve">; </w:t>
      </w:r>
      <w:r w:rsidR="007361A8">
        <w:rPr>
          <w:b/>
          <w:lang w:val="en"/>
        </w:rPr>
        <w:t>Guests on we</w:t>
      </w:r>
      <w:r>
        <w:rPr>
          <w:b/>
          <w:lang w:val="en"/>
        </w:rPr>
        <w:t xml:space="preserve">binar: </w:t>
      </w:r>
      <w:r>
        <w:rPr>
          <w:lang w:val="en"/>
        </w:rPr>
        <w:t xml:space="preserve">Larry </w:t>
      </w:r>
      <w:proofErr w:type="spellStart"/>
      <w:r>
        <w:rPr>
          <w:lang w:val="en"/>
        </w:rPr>
        <w:t>Averbeck</w:t>
      </w:r>
      <w:proofErr w:type="spellEnd"/>
      <w:r>
        <w:rPr>
          <w:lang w:val="en"/>
        </w:rPr>
        <w:t xml:space="preserve">, </w:t>
      </w:r>
      <w:r w:rsidR="00285CF7">
        <w:rPr>
          <w:lang w:val="en"/>
        </w:rPr>
        <w:t xml:space="preserve">Dustin </w:t>
      </w:r>
      <w:proofErr w:type="spellStart"/>
      <w:r w:rsidR="00285CF7">
        <w:rPr>
          <w:lang w:val="en"/>
        </w:rPr>
        <w:t>Bramkamp</w:t>
      </w:r>
      <w:proofErr w:type="spellEnd"/>
      <w:r w:rsidR="00285CF7">
        <w:rPr>
          <w:lang w:val="en"/>
        </w:rPr>
        <w:t xml:space="preserve">, Phillip </w:t>
      </w:r>
      <w:proofErr w:type="spellStart"/>
      <w:r w:rsidR="00285CF7">
        <w:rPr>
          <w:lang w:val="en"/>
        </w:rPr>
        <w:t>Braxman</w:t>
      </w:r>
      <w:proofErr w:type="spellEnd"/>
      <w:r w:rsidR="00285CF7">
        <w:rPr>
          <w:lang w:val="en"/>
        </w:rPr>
        <w:t xml:space="preserve">, </w:t>
      </w:r>
      <w:r>
        <w:rPr>
          <w:lang w:val="en"/>
        </w:rPr>
        <w:t xml:space="preserve">Dan </w:t>
      </w:r>
      <w:proofErr w:type="spellStart"/>
      <w:r>
        <w:rPr>
          <w:lang w:val="en"/>
        </w:rPr>
        <w:t>Kuhl</w:t>
      </w:r>
      <w:proofErr w:type="spellEnd"/>
      <w:r>
        <w:rPr>
          <w:lang w:val="en"/>
        </w:rPr>
        <w:t xml:space="preserve">, Susan </w:t>
      </w:r>
      <w:proofErr w:type="spellStart"/>
      <w:r>
        <w:rPr>
          <w:lang w:val="en"/>
        </w:rPr>
        <w:t>Tanoe</w:t>
      </w:r>
      <w:proofErr w:type="spellEnd"/>
      <w:r w:rsidR="00272F49">
        <w:rPr>
          <w:lang w:val="en"/>
        </w:rPr>
        <w:t>, and Linda Miller</w:t>
      </w:r>
    </w:p>
    <w:p w:rsidR="00210734" w:rsidRDefault="00210734">
      <w:pPr>
        <w:widowControl w:val="0"/>
        <w:spacing w:after="0" w:line="240" w:lineRule="auto"/>
        <w:rPr>
          <w:lang w:val="en"/>
        </w:rPr>
      </w:pPr>
    </w:p>
    <w:tbl>
      <w:tblPr>
        <w:tblW w:w="10255" w:type="dxa"/>
        <w:tblInd w:w="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5" w:type="dxa"/>
        </w:tblCellMar>
        <w:tblLook w:val="0000" w:firstRow="0" w:lastRow="0" w:firstColumn="0" w:lastColumn="0" w:noHBand="0" w:noVBand="0"/>
      </w:tblPr>
      <w:tblGrid>
        <w:gridCol w:w="3235"/>
        <w:gridCol w:w="990"/>
        <w:gridCol w:w="1170"/>
        <w:gridCol w:w="2789"/>
        <w:gridCol w:w="810"/>
        <w:gridCol w:w="1261"/>
      </w:tblGrid>
      <w:tr w:rsidR="00210734" w:rsidTr="00CB59E4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7361A8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b/>
                <w:bCs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7361A8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b/>
                <w:bCs/>
                <w:lang w:val="en"/>
              </w:rPr>
              <w:t>Here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7361A8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b/>
                <w:bCs/>
                <w:lang w:val="en"/>
              </w:rPr>
              <w:t>Proxy</w:t>
            </w: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7361A8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b/>
                <w:bCs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7361A8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b/>
                <w:bCs/>
                <w:lang w:val="en"/>
              </w:rPr>
              <w:t>Here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7361A8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b/>
                <w:bCs/>
                <w:lang w:val="en"/>
              </w:rPr>
              <w:t>Proxy</w:t>
            </w:r>
          </w:p>
        </w:tc>
      </w:tr>
      <w:tr w:rsidR="00210734" w:rsidTr="00CB59E4">
        <w:trPr>
          <w:trHeight w:val="25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7361A8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 xml:space="preserve">Jackie </w:t>
            </w:r>
            <w:proofErr w:type="spellStart"/>
            <w:r>
              <w:rPr>
                <w:lang w:val="en"/>
              </w:rPr>
              <w:t>Koski</w:t>
            </w:r>
            <w:proofErr w:type="spellEnd"/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CB59E4">
            <w:pPr>
              <w:widowControl w:val="0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7361A8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 xml:space="preserve">Harrison </w:t>
            </w:r>
            <w:proofErr w:type="spellStart"/>
            <w:r>
              <w:rPr>
                <w:lang w:val="en"/>
              </w:rPr>
              <w:t>Baumbaugh</w:t>
            </w:r>
            <w:proofErr w:type="spellEnd"/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CB59E4">
            <w:pPr>
              <w:widowControl w:val="0"/>
              <w:spacing w:after="0" w:line="240" w:lineRule="auto"/>
              <w:jc w:val="center"/>
            </w:pPr>
            <w:r>
              <w:rPr>
                <w:lang w:val="en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210734" w:rsidTr="00CB59E4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7361A8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Betsy Eller,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CB59E4">
            <w:pPr>
              <w:widowControl w:val="0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7361A8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Mary Thomas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CB59E4">
            <w:pPr>
              <w:widowControl w:val="0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210734" w:rsidTr="00CB59E4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7361A8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7216E3">
            <w:pPr>
              <w:widowControl w:val="0"/>
              <w:spacing w:after="0" w:line="240" w:lineRule="auto"/>
              <w:jc w:val="center"/>
            </w:pPr>
            <w:r>
              <w:rPr>
                <w:lang w:val="en"/>
              </w:rPr>
              <w:t>---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7216E3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Marty</w:t>
            </w: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7361A8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Gregg Hopkins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CB59E4">
            <w:pPr>
              <w:widowControl w:val="0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CB59E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(Nelson)</w:t>
            </w:r>
          </w:p>
        </w:tc>
      </w:tr>
      <w:tr w:rsidR="00CB59E4" w:rsidTr="00CB59E4">
        <w:trPr>
          <w:trHeight w:val="170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Default="00CB59E4" w:rsidP="00CB59E4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Default="00CB59E4" w:rsidP="00CB59E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Default="00CB59E4" w:rsidP="00CB59E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Default="00CB59E4" w:rsidP="00CB59E4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Nelson Page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Default="00CB59E4" w:rsidP="00CB59E4">
            <w:pPr>
              <w:widowControl w:val="0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Default="00CB59E4" w:rsidP="00CB59E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CB59E4" w:rsidTr="00CB59E4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Default="00CB59E4" w:rsidP="00CB59E4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 xml:space="preserve">Gerry </w:t>
            </w:r>
            <w:proofErr w:type="spellStart"/>
            <w:r>
              <w:rPr>
                <w:lang w:val="en"/>
              </w:rPr>
              <w:t>Geverdt</w:t>
            </w:r>
            <w:proofErr w:type="spellEnd"/>
            <w:r>
              <w:rPr>
                <w:lang w:val="en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Default="00CB59E4" w:rsidP="00CB59E4">
            <w:pPr>
              <w:widowControl w:val="0"/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Default="00CB59E4" w:rsidP="00CB59E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Rich</w:t>
            </w: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Default="00CB59E4" w:rsidP="00CB59E4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 xml:space="preserve">Frank Bicknell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Default="00CB59E4" w:rsidP="00CB59E4">
            <w:pPr>
              <w:widowControl w:val="0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Default="00CB59E4" w:rsidP="00CB59E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CB59E4" w:rsidTr="00CB59E4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Default="00CB59E4" w:rsidP="00CB59E4">
            <w:pPr>
              <w:widowControl w:val="0"/>
              <w:spacing w:after="0" w:line="240" w:lineRule="auto"/>
            </w:pPr>
            <w:r>
              <w:rPr>
                <w:lang w:val="en"/>
              </w:rPr>
              <w:t>Dene Alden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Default="00CB59E4" w:rsidP="00CB59E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Default="00CB59E4" w:rsidP="00CB59E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Default="00CB59E4" w:rsidP="00CB59E4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 xml:space="preserve">Michele </w:t>
            </w:r>
            <w:proofErr w:type="spellStart"/>
            <w:r>
              <w:rPr>
                <w:lang w:val="en"/>
              </w:rPr>
              <w:t>Grinoch</w:t>
            </w:r>
            <w:proofErr w:type="spellEnd"/>
            <w:r>
              <w:rPr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Default="00CB59E4" w:rsidP="00CB59E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Default="00CB59E4" w:rsidP="00CB59E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CB59E4" w:rsidTr="00CB59E4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Default="00CB59E4" w:rsidP="00CB59E4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Default="00CB59E4" w:rsidP="00CB59E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Default="00CB59E4" w:rsidP="00CB59E4">
            <w:pPr>
              <w:widowControl w:val="0"/>
              <w:spacing w:after="0" w:line="240" w:lineRule="auto"/>
              <w:rPr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Default="00CB59E4" w:rsidP="00CB59E4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Kate Lester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Default="00CB59E4" w:rsidP="00CB59E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---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Default="00CB59E4" w:rsidP="00CB59E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Dene</w:t>
            </w:r>
          </w:p>
        </w:tc>
      </w:tr>
      <w:tr w:rsidR="00CB59E4" w:rsidTr="00CB59E4">
        <w:trPr>
          <w:trHeight w:val="305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Default="00CB59E4" w:rsidP="00CB59E4">
            <w:pPr>
              <w:widowControl w:val="0"/>
              <w:spacing w:after="0" w:line="240" w:lineRule="auto"/>
              <w:rPr>
                <w:lang w:val="en"/>
              </w:rPr>
            </w:pP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Default="00CB59E4" w:rsidP="00CB59E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Default="00CB59E4" w:rsidP="00CB59E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Default="00CB59E4" w:rsidP="00CB59E4">
            <w:pPr>
              <w:widowControl w:val="0"/>
              <w:spacing w:after="0" w:line="240" w:lineRule="auto"/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Default="00CB59E4" w:rsidP="00CB59E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Default="00CB59E4" w:rsidP="00CB59E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</w:tr>
    </w:tbl>
    <w:p w:rsidR="00210734" w:rsidRDefault="007361A8">
      <w:pPr>
        <w:widowControl w:val="0"/>
        <w:spacing w:after="0" w:line="240" w:lineRule="auto"/>
        <w:rPr>
          <w:lang w:val="en"/>
        </w:rPr>
      </w:pPr>
      <w:r>
        <w:rPr>
          <w:lang w:val="en"/>
        </w:rPr>
        <w:t>Note: Parentheses denote provisional presence or proxies should members not be present for the full meeting</w:t>
      </w:r>
    </w:p>
    <w:p w:rsidR="00210734" w:rsidRDefault="00210734">
      <w:pPr>
        <w:widowControl w:val="0"/>
        <w:spacing w:after="0" w:line="240" w:lineRule="auto"/>
        <w:rPr>
          <w:b/>
          <w:bCs/>
          <w:u w:val="single"/>
          <w:lang w:val="en"/>
        </w:rPr>
      </w:pPr>
    </w:p>
    <w:p w:rsidR="00210734" w:rsidRDefault="007361A8">
      <w:pPr>
        <w:widowControl w:val="0"/>
        <w:spacing w:after="0" w:line="240" w:lineRule="auto"/>
        <w:rPr>
          <w:lang w:val="en"/>
        </w:rPr>
      </w:pPr>
      <w:r>
        <w:rPr>
          <w:b/>
          <w:bCs/>
          <w:u w:val="single"/>
          <w:lang w:val="en"/>
        </w:rPr>
        <w:t>Recording Partner’s Report</w:t>
      </w:r>
      <w:r>
        <w:rPr>
          <w:b/>
          <w:bCs/>
          <w:lang w:val="en"/>
        </w:rPr>
        <w:t>:</w:t>
      </w:r>
      <w:r>
        <w:rPr>
          <w:bCs/>
          <w:lang w:val="en"/>
        </w:rPr>
        <w:t xml:space="preserve"> </w:t>
      </w:r>
      <w:r w:rsidR="007216E3">
        <w:rPr>
          <w:lang w:val="en"/>
        </w:rPr>
        <w:t>Minutes of the Jun 16</w:t>
      </w:r>
      <w:r>
        <w:rPr>
          <w:lang w:val="en"/>
        </w:rPr>
        <w:t xml:space="preserve"> </w:t>
      </w:r>
      <w:r w:rsidR="00CB59E4">
        <w:rPr>
          <w:lang w:val="en"/>
        </w:rPr>
        <w:t>meeting were approved as posted on Jun 23.</w:t>
      </w:r>
    </w:p>
    <w:p w:rsidR="00210734" w:rsidRDefault="00210734">
      <w:pPr>
        <w:widowControl w:val="0"/>
        <w:spacing w:after="0" w:line="240" w:lineRule="auto"/>
        <w:rPr>
          <w:lang w:val="en"/>
        </w:rPr>
      </w:pPr>
    </w:p>
    <w:p w:rsidR="00210734" w:rsidRDefault="007361A8">
      <w:pPr>
        <w:widowControl w:val="0"/>
        <w:spacing w:after="0" w:line="240" w:lineRule="auto"/>
        <w:rPr>
          <w:lang w:val="en"/>
        </w:rPr>
      </w:pPr>
      <w:r>
        <w:rPr>
          <w:b/>
          <w:bCs/>
          <w:u w:val="single"/>
          <w:lang w:val="en"/>
        </w:rPr>
        <w:t>Financial Partner’s Report</w:t>
      </w:r>
      <w:r>
        <w:rPr>
          <w:b/>
          <w:bCs/>
          <w:lang w:val="en"/>
        </w:rPr>
        <w:t>:</w:t>
      </w:r>
      <w:r>
        <w:rPr>
          <w:lang w:val="en"/>
        </w:rPr>
        <w:t xml:space="preserve"> </w:t>
      </w:r>
    </w:p>
    <w:p w:rsidR="00210734" w:rsidRDefault="007216E3">
      <w:pPr>
        <w:pStyle w:val="ListParagraph"/>
        <w:widowControl w:val="0"/>
        <w:numPr>
          <w:ilvl w:val="0"/>
          <w:numId w:val="1"/>
        </w:numPr>
        <w:spacing w:after="0" w:line="240" w:lineRule="auto"/>
      </w:pPr>
      <w:r>
        <w:rPr>
          <w:rFonts w:cstheme="minorHAnsi"/>
          <w:lang w:val="en"/>
        </w:rPr>
        <w:t>Current cash: $</w:t>
      </w:r>
      <w:r w:rsidR="00CB59E4">
        <w:rPr>
          <w:rFonts w:cstheme="minorHAnsi"/>
          <w:lang w:val="en"/>
        </w:rPr>
        <w:t>1,672.36</w:t>
      </w:r>
      <w:r w:rsidR="007361A8">
        <w:rPr>
          <w:rFonts w:cstheme="minorHAnsi"/>
          <w:lang w:val="en"/>
        </w:rPr>
        <w:t>; There are no limit orders</w:t>
      </w:r>
    </w:p>
    <w:p w:rsidR="00210734" w:rsidRPr="00CB59E4" w:rsidRDefault="007361A8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theme="minorHAnsi"/>
          <w:b/>
          <w:bCs/>
          <w:u w:val="single"/>
          <w:lang w:val="en"/>
        </w:rPr>
      </w:pPr>
      <w:r>
        <w:rPr>
          <w:rFonts w:cstheme="minorHAnsi"/>
          <w:lang w:val="en"/>
        </w:rPr>
        <w:t>Financial Partner’s report filed for audit</w:t>
      </w:r>
    </w:p>
    <w:p w:rsidR="00CB59E4" w:rsidRDefault="00CB59E4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theme="minorHAnsi"/>
          <w:b/>
          <w:bCs/>
          <w:u w:val="single"/>
          <w:lang w:val="en"/>
        </w:rPr>
      </w:pPr>
      <w:r>
        <w:rPr>
          <w:rFonts w:cstheme="minorHAnsi"/>
          <w:lang w:val="en"/>
        </w:rPr>
        <w:t>Betsy asked to be reimbursed for</w:t>
      </w:r>
      <w:r w:rsidR="0067144B">
        <w:rPr>
          <w:rFonts w:cstheme="minorHAnsi"/>
          <w:lang w:val="en"/>
        </w:rPr>
        <w:t xml:space="preserve"> $16.58</w:t>
      </w:r>
      <w:r>
        <w:rPr>
          <w:rFonts w:cstheme="minorHAnsi"/>
          <w:lang w:val="en"/>
        </w:rPr>
        <w:t xml:space="preserve"> postage</w:t>
      </w:r>
      <w:r w:rsidR="0067144B">
        <w:rPr>
          <w:rFonts w:cstheme="minorHAnsi"/>
          <w:lang w:val="en"/>
        </w:rPr>
        <w:t>. Dene/Rich moved, motion</w:t>
      </w:r>
      <w:r>
        <w:rPr>
          <w:rFonts w:cstheme="minorHAnsi"/>
          <w:lang w:val="en"/>
        </w:rPr>
        <w:t xml:space="preserve"> approved</w:t>
      </w:r>
    </w:p>
    <w:p w:rsidR="00210734" w:rsidRDefault="00210734">
      <w:pPr>
        <w:widowControl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:rsidR="00210734" w:rsidRDefault="007361A8">
      <w:pPr>
        <w:pStyle w:val="NoSpacing"/>
        <w:rPr>
          <w:rFonts w:asciiTheme="minorHAnsi" w:hAnsiTheme="minorHAnsi" w:cstheme="minorHAnsi"/>
          <w:color w:val="00000A"/>
          <w:sz w:val="22"/>
        </w:rPr>
      </w:pPr>
      <w:r>
        <w:rPr>
          <w:rFonts w:asciiTheme="minorHAnsi" w:hAnsiTheme="minorHAnsi" w:cstheme="minorHAnsi"/>
          <w:b/>
          <w:bCs/>
          <w:color w:val="00000A"/>
          <w:sz w:val="22"/>
          <w:u w:val="single"/>
          <w:lang w:val="en"/>
        </w:rPr>
        <w:t>Announcements</w:t>
      </w:r>
      <w:r>
        <w:rPr>
          <w:rFonts w:asciiTheme="minorHAnsi" w:hAnsiTheme="minorHAnsi" w:cstheme="minorHAnsi"/>
          <w:b/>
          <w:bCs/>
          <w:color w:val="00000A"/>
          <w:sz w:val="22"/>
          <w:lang w:val="en"/>
        </w:rPr>
        <w:t>:</w:t>
      </w:r>
      <w:r>
        <w:rPr>
          <w:rFonts w:asciiTheme="minorHAnsi" w:hAnsiTheme="minorHAnsi" w:cstheme="minorHAnsi"/>
          <w:bCs/>
          <w:color w:val="00000A"/>
          <w:sz w:val="22"/>
          <w:lang w:val="en"/>
        </w:rPr>
        <w:t xml:space="preserve"> </w:t>
      </w:r>
    </w:p>
    <w:p w:rsidR="00210734" w:rsidRDefault="007361A8">
      <w:pPr>
        <w:pStyle w:val="NoSpacing"/>
        <w:widowControl w:val="0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>
        <w:rPr>
          <w:rFonts w:asciiTheme="minorHAnsi" w:hAnsiTheme="minorHAnsi" w:cstheme="minorHAnsi"/>
          <w:color w:val="00000A"/>
          <w:sz w:val="22"/>
        </w:rPr>
        <w:t>Classes and webinars: see BetterInvesting Magazine “ONLINE” section opposite CONTENTS o</w:t>
      </w:r>
      <w:r>
        <w:rPr>
          <w:rFonts w:asciiTheme="minorHAnsi" w:hAnsiTheme="minorHAnsi" w:cstheme="minorHAnsi"/>
          <w:sz w:val="22"/>
        </w:rPr>
        <w:t xml:space="preserve">r visit the web site under Events. </w:t>
      </w:r>
    </w:p>
    <w:p w:rsidR="00210734" w:rsidRDefault="007361A8">
      <w:pPr>
        <w:pStyle w:val="NoSpacing"/>
        <w:widowControl w:val="0"/>
        <w:numPr>
          <w:ilvl w:val="0"/>
          <w:numId w:val="2"/>
        </w:numPr>
      </w:pPr>
      <w:r>
        <w:rPr>
          <w:rFonts w:asciiTheme="minorHAnsi" w:hAnsiTheme="minorHAnsi" w:cstheme="minorHAnsi"/>
          <w:sz w:val="22"/>
        </w:rPr>
        <w:t xml:space="preserve">“The Roundtable”, “Turn Out Tuesday” and “Investing Topics with Mark and Ken” are sponsored by BI Mid-Michigan. Register for any of them by contacting: </w:t>
      </w:r>
      <w:hyperlink r:id="rId8">
        <w:r>
          <w:rPr>
            <w:rStyle w:val="InternetLink"/>
            <w:rFonts w:asciiTheme="minorHAnsi" w:hAnsiTheme="minorHAnsi" w:cstheme="minorHAnsi"/>
            <w:sz w:val="22"/>
          </w:rPr>
          <w:t>nkavula1@comcast.net</w:t>
        </w:r>
      </w:hyperlink>
      <w:r>
        <w:rPr>
          <w:rFonts w:asciiTheme="minorHAnsi" w:hAnsiTheme="minorHAnsi" w:cstheme="minorHAnsi"/>
          <w:sz w:val="22"/>
        </w:rPr>
        <w:t>.</w:t>
      </w:r>
    </w:p>
    <w:p w:rsidR="00210734" w:rsidRPr="005D1E3D" w:rsidRDefault="007361A8">
      <w:pPr>
        <w:pStyle w:val="NoSpacing"/>
        <w:widowControl w:val="0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>
        <w:rPr>
          <w:rFonts w:asciiTheme="minorHAnsi" w:hAnsiTheme="minorHAnsi" w:cstheme="minorHAnsi"/>
          <w:sz w:val="22"/>
        </w:rPr>
        <w:t>Check out Stock Up and Ticker Talk on the BI web site</w:t>
      </w:r>
    </w:p>
    <w:p w:rsidR="005D1E3D" w:rsidRPr="0067144B" w:rsidRDefault="005D1E3D">
      <w:pPr>
        <w:pStyle w:val="NoSpacing"/>
        <w:widowControl w:val="0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>
        <w:rPr>
          <w:rFonts w:asciiTheme="minorHAnsi" w:hAnsiTheme="minorHAnsi" w:cstheme="minorHAnsi"/>
          <w:sz w:val="22"/>
        </w:rPr>
        <w:t>BINC 2019 will be in Chicago</w:t>
      </w:r>
      <w:r w:rsidR="0067144B">
        <w:rPr>
          <w:rFonts w:asciiTheme="minorHAnsi" w:hAnsiTheme="minorHAnsi" w:cstheme="minorHAnsi"/>
          <w:sz w:val="22"/>
        </w:rPr>
        <w:t xml:space="preserve"> – Dene, Jackie, Rich already registered</w:t>
      </w:r>
    </w:p>
    <w:p w:rsidR="0067144B" w:rsidRPr="0067144B" w:rsidRDefault="0067144B">
      <w:pPr>
        <w:pStyle w:val="NoSpacing"/>
        <w:widowControl w:val="0"/>
        <w:numPr>
          <w:ilvl w:val="0"/>
          <w:numId w:val="2"/>
        </w:numPr>
        <w:rPr>
          <w:rFonts w:asciiTheme="minorHAnsi" w:hAnsiTheme="minorHAnsi" w:cstheme="minorHAnsi"/>
          <w:bCs/>
          <w:sz w:val="22"/>
          <w:lang w:val="en"/>
        </w:rPr>
      </w:pPr>
      <w:r>
        <w:rPr>
          <w:rFonts w:asciiTheme="minorHAnsi" w:hAnsiTheme="minorHAnsi" w:cstheme="minorHAnsi"/>
          <w:bCs/>
          <w:sz w:val="22"/>
          <w:lang w:val="en"/>
        </w:rPr>
        <w:t>Frank/Michele noted that they were up for four presentations within fir</w:t>
      </w:r>
      <w:r w:rsidR="00272F49">
        <w:rPr>
          <w:rFonts w:asciiTheme="minorHAnsi" w:hAnsiTheme="minorHAnsi" w:cstheme="minorHAnsi"/>
          <w:bCs/>
          <w:sz w:val="22"/>
          <w:lang w:val="en"/>
        </w:rPr>
        <w:t>st six months of 2019. Jackie has</w:t>
      </w:r>
      <w:r>
        <w:rPr>
          <w:rFonts w:asciiTheme="minorHAnsi" w:hAnsiTheme="minorHAnsi" w:cstheme="minorHAnsi"/>
          <w:bCs/>
          <w:sz w:val="22"/>
          <w:lang w:val="en"/>
        </w:rPr>
        <w:t xml:space="preserve"> rearrange</w:t>
      </w:r>
      <w:r w:rsidR="00272F49">
        <w:rPr>
          <w:rFonts w:asciiTheme="minorHAnsi" w:hAnsiTheme="minorHAnsi" w:cstheme="minorHAnsi"/>
          <w:bCs/>
          <w:sz w:val="22"/>
          <w:lang w:val="en"/>
        </w:rPr>
        <w:t>d</w:t>
      </w:r>
      <w:r>
        <w:rPr>
          <w:rFonts w:asciiTheme="minorHAnsi" w:hAnsiTheme="minorHAnsi" w:cstheme="minorHAnsi"/>
          <w:bCs/>
          <w:sz w:val="22"/>
          <w:lang w:val="en"/>
        </w:rPr>
        <w:t xml:space="preserve"> </w:t>
      </w:r>
      <w:r w:rsidR="00272F49">
        <w:rPr>
          <w:rFonts w:asciiTheme="minorHAnsi" w:hAnsiTheme="minorHAnsi" w:cstheme="minorHAnsi"/>
          <w:bCs/>
          <w:sz w:val="22"/>
          <w:lang w:val="en"/>
        </w:rPr>
        <w:t xml:space="preserve">the 2019 </w:t>
      </w:r>
      <w:r>
        <w:rPr>
          <w:rFonts w:asciiTheme="minorHAnsi" w:hAnsiTheme="minorHAnsi" w:cstheme="minorHAnsi"/>
          <w:bCs/>
          <w:sz w:val="22"/>
          <w:lang w:val="en"/>
        </w:rPr>
        <w:t>schedule to level the load.</w:t>
      </w:r>
      <w:r w:rsidR="00272F49">
        <w:rPr>
          <w:rFonts w:asciiTheme="minorHAnsi" w:hAnsiTheme="minorHAnsi" w:cstheme="minorHAnsi"/>
          <w:bCs/>
          <w:sz w:val="22"/>
          <w:lang w:val="en"/>
        </w:rPr>
        <w:t xml:space="preserve"> Please see the new schedule, below.</w:t>
      </w:r>
    </w:p>
    <w:p w:rsidR="00210734" w:rsidRDefault="00210734">
      <w:pPr>
        <w:widowControl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:rsidR="005D1E3D" w:rsidRDefault="005D1E3D" w:rsidP="005D1E3D">
      <w:pPr>
        <w:widowControl w:val="0"/>
        <w:tabs>
          <w:tab w:val="left" w:pos="994"/>
        </w:tabs>
        <w:spacing w:after="0" w:line="240" w:lineRule="auto"/>
        <w:rPr>
          <w:bCs/>
          <w:lang w:val="en"/>
        </w:rPr>
      </w:pPr>
      <w:r>
        <w:rPr>
          <w:b/>
          <w:bCs/>
          <w:u w:val="single"/>
          <w:lang w:val="en"/>
        </w:rPr>
        <w:t>New Stock Presentation</w:t>
      </w:r>
      <w:r>
        <w:rPr>
          <w:b/>
          <w:bCs/>
          <w:lang w:val="en"/>
        </w:rPr>
        <w:t>:</w:t>
      </w:r>
      <w:r>
        <w:rPr>
          <w:bCs/>
          <w:lang w:val="en"/>
        </w:rPr>
        <w:t xml:space="preserve"> </w:t>
      </w:r>
      <w:r w:rsidR="00CB59E4">
        <w:rPr>
          <w:bCs/>
          <w:lang w:val="en"/>
        </w:rPr>
        <w:t xml:space="preserve">Gregg: </w:t>
      </w:r>
      <w:proofErr w:type="spellStart"/>
      <w:r w:rsidR="00CB59E4">
        <w:rPr>
          <w:bCs/>
          <w:lang w:val="en"/>
        </w:rPr>
        <w:t>Celgene</w:t>
      </w:r>
      <w:proofErr w:type="spellEnd"/>
      <w:r w:rsidR="00CB59E4">
        <w:rPr>
          <w:bCs/>
          <w:lang w:val="en"/>
        </w:rPr>
        <w:t xml:space="preserve"> (CELG)</w:t>
      </w:r>
    </w:p>
    <w:p w:rsidR="005D1E3D" w:rsidRDefault="00DB766F" w:rsidP="00DB766F">
      <w:pPr>
        <w:pStyle w:val="ListParagraph"/>
        <w:widowControl w:val="0"/>
        <w:numPr>
          <w:ilvl w:val="0"/>
          <w:numId w:val="11"/>
        </w:numPr>
        <w:tabs>
          <w:tab w:val="left" w:pos="994"/>
        </w:tabs>
        <w:spacing w:after="0" w:line="240" w:lineRule="auto"/>
        <w:rPr>
          <w:bCs/>
          <w:lang w:val="en"/>
        </w:rPr>
      </w:pPr>
      <w:r>
        <w:rPr>
          <w:bCs/>
          <w:lang w:val="en"/>
        </w:rPr>
        <w:t xml:space="preserve">His other club had replaced </w:t>
      </w:r>
      <w:proofErr w:type="spellStart"/>
      <w:r>
        <w:rPr>
          <w:bCs/>
          <w:lang w:val="en"/>
        </w:rPr>
        <w:t>Biogen</w:t>
      </w:r>
      <w:proofErr w:type="spellEnd"/>
      <w:r>
        <w:rPr>
          <w:bCs/>
          <w:lang w:val="en"/>
        </w:rPr>
        <w:t xml:space="preserve"> (BIIB) with CELG</w:t>
      </w:r>
    </w:p>
    <w:p w:rsidR="00DB766F" w:rsidRDefault="00DB766F" w:rsidP="00DB766F">
      <w:pPr>
        <w:pStyle w:val="ListParagraph"/>
        <w:widowControl w:val="0"/>
        <w:numPr>
          <w:ilvl w:val="0"/>
          <w:numId w:val="11"/>
        </w:numPr>
        <w:tabs>
          <w:tab w:val="left" w:pos="994"/>
        </w:tabs>
        <w:spacing w:after="0" w:line="240" w:lineRule="auto"/>
        <w:rPr>
          <w:bCs/>
          <w:lang w:val="en"/>
        </w:rPr>
      </w:pPr>
      <w:r>
        <w:rPr>
          <w:bCs/>
          <w:lang w:val="en"/>
        </w:rPr>
        <w:t>Price has bottomed and found a support level</w:t>
      </w:r>
    </w:p>
    <w:p w:rsidR="00DB766F" w:rsidRDefault="00DB766F" w:rsidP="00DB766F">
      <w:pPr>
        <w:pStyle w:val="ListParagraph"/>
        <w:widowControl w:val="0"/>
        <w:numPr>
          <w:ilvl w:val="0"/>
          <w:numId w:val="11"/>
        </w:numPr>
        <w:tabs>
          <w:tab w:val="left" w:pos="994"/>
        </w:tabs>
        <w:spacing w:after="0" w:line="240" w:lineRule="auto"/>
        <w:rPr>
          <w:bCs/>
          <w:lang w:val="en"/>
        </w:rPr>
      </w:pPr>
      <w:proofErr w:type="spellStart"/>
      <w:r>
        <w:rPr>
          <w:bCs/>
          <w:lang w:val="en"/>
        </w:rPr>
        <w:t>Revlamid</w:t>
      </w:r>
      <w:proofErr w:type="spellEnd"/>
      <w:r>
        <w:rPr>
          <w:bCs/>
          <w:lang w:val="en"/>
        </w:rPr>
        <w:t xml:space="preserve"> </w:t>
      </w:r>
      <w:r w:rsidR="00C62AF1">
        <w:rPr>
          <w:bCs/>
          <w:lang w:val="en"/>
        </w:rPr>
        <w:t xml:space="preserve">(63% of sales) </w:t>
      </w:r>
      <w:r>
        <w:rPr>
          <w:bCs/>
          <w:lang w:val="en"/>
        </w:rPr>
        <w:t>patent good through 2022, others in the pipeline</w:t>
      </w:r>
    </w:p>
    <w:p w:rsidR="00C62AF1" w:rsidRDefault="00C62AF1" w:rsidP="00C62AF1">
      <w:pPr>
        <w:pStyle w:val="ListParagraph"/>
        <w:widowControl w:val="0"/>
        <w:numPr>
          <w:ilvl w:val="0"/>
          <w:numId w:val="11"/>
        </w:numPr>
        <w:tabs>
          <w:tab w:val="left" w:pos="994"/>
        </w:tabs>
        <w:spacing w:after="0" w:line="240" w:lineRule="auto"/>
        <w:rPr>
          <w:bCs/>
          <w:lang w:val="en"/>
        </w:rPr>
      </w:pPr>
      <w:r>
        <w:rPr>
          <w:bCs/>
          <w:lang w:val="en"/>
        </w:rPr>
        <w:t>Acquiring Juno Therapeutics, should improve overall results</w:t>
      </w:r>
    </w:p>
    <w:p w:rsidR="00DB766F" w:rsidRDefault="00DB766F" w:rsidP="00DB766F">
      <w:pPr>
        <w:pStyle w:val="ListParagraph"/>
        <w:widowControl w:val="0"/>
        <w:numPr>
          <w:ilvl w:val="0"/>
          <w:numId w:val="11"/>
        </w:numPr>
        <w:tabs>
          <w:tab w:val="left" w:pos="994"/>
        </w:tabs>
        <w:spacing w:after="0" w:line="240" w:lineRule="auto"/>
        <w:rPr>
          <w:bCs/>
          <w:lang w:val="en"/>
        </w:rPr>
      </w:pPr>
      <w:bookmarkStart w:id="0" w:name="_GoBack"/>
      <w:bookmarkEnd w:id="0"/>
      <w:r>
        <w:rPr>
          <w:bCs/>
          <w:lang w:val="en"/>
        </w:rPr>
        <w:t>Lack of European approval affected 1Q18 results</w:t>
      </w:r>
    </w:p>
    <w:p w:rsidR="00DB766F" w:rsidRPr="00DB766F" w:rsidRDefault="00DB766F" w:rsidP="00DB766F">
      <w:pPr>
        <w:pStyle w:val="ListParagraph"/>
        <w:widowControl w:val="0"/>
        <w:numPr>
          <w:ilvl w:val="0"/>
          <w:numId w:val="11"/>
        </w:numPr>
        <w:tabs>
          <w:tab w:val="left" w:pos="994"/>
        </w:tabs>
        <w:spacing w:after="0" w:line="240" w:lineRule="auto"/>
        <w:rPr>
          <w:bCs/>
          <w:lang w:val="en"/>
        </w:rPr>
      </w:pPr>
      <w:r>
        <w:rPr>
          <w:bCs/>
          <w:lang w:val="en"/>
        </w:rPr>
        <w:t>Conservative SSG resul</w:t>
      </w:r>
      <w:r w:rsidR="00272F49">
        <w:rPr>
          <w:bCs/>
          <w:lang w:val="en"/>
        </w:rPr>
        <w:t>t</w:t>
      </w:r>
      <w:r>
        <w:rPr>
          <w:bCs/>
          <w:lang w:val="en"/>
        </w:rPr>
        <w:t>ed in a BUY with 5.5 U/D ratio</w:t>
      </w:r>
    </w:p>
    <w:p w:rsidR="005D1E3D" w:rsidRDefault="005D1E3D">
      <w:pPr>
        <w:widowControl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:rsidR="00210734" w:rsidRDefault="007361A8">
      <w:pPr>
        <w:widowControl w:val="0"/>
        <w:spacing w:after="0" w:line="240" w:lineRule="auto"/>
        <w:rPr>
          <w:rFonts w:cstheme="minorHAnsi"/>
          <w:lang w:val="en"/>
        </w:rPr>
      </w:pPr>
      <w:r>
        <w:rPr>
          <w:rFonts w:cstheme="minorHAnsi"/>
          <w:b/>
          <w:bCs/>
          <w:u w:val="single"/>
          <w:lang w:val="en"/>
        </w:rPr>
        <w:t>Old Business:</w:t>
      </w:r>
      <w:r>
        <w:rPr>
          <w:rFonts w:cstheme="minorHAnsi"/>
          <w:lang w:val="en"/>
        </w:rPr>
        <w:t xml:space="preserve"> </w:t>
      </w:r>
    </w:p>
    <w:p w:rsidR="00210734" w:rsidRDefault="005D1E3D">
      <w:pPr>
        <w:pStyle w:val="NoSpacing"/>
        <w:widowControl w:val="0"/>
        <w:numPr>
          <w:ilvl w:val="0"/>
          <w:numId w:val="2"/>
        </w:numPr>
        <w:rPr>
          <w:rFonts w:asciiTheme="minorHAnsi" w:hAnsiTheme="minorHAnsi" w:cstheme="minorHAnsi"/>
          <w:bCs/>
          <w:sz w:val="22"/>
          <w:lang w:val="en"/>
        </w:rPr>
      </w:pPr>
      <w:r>
        <w:rPr>
          <w:rFonts w:asciiTheme="minorHAnsi" w:hAnsiTheme="minorHAnsi" w:cstheme="minorHAnsi"/>
          <w:bCs/>
          <w:sz w:val="22"/>
          <w:lang w:val="en"/>
        </w:rPr>
        <w:t>Mary: clarification of CBRE presentation</w:t>
      </w:r>
      <w:r w:rsidR="0067144B">
        <w:rPr>
          <w:rFonts w:asciiTheme="minorHAnsi" w:hAnsiTheme="minorHAnsi" w:cstheme="minorHAnsi"/>
          <w:bCs/>
          <w:sz w:val="22"/>
          <w:lang w:val="en"/>
        </w:rPr>
        <w:t xml:space="preserve"> </w:t>
      </w:r>
      <w:r w:rsidR="00DB766F">
        <w:rPr>
          <w:rFonts w:asciiTheme="minorHAnsi" w:hAnsiTheme="minorHAnsi" w:cstheme="minorHAnsi"/>
          <w:bCs/>
          <w:sz w:val="22"/>
          <w:lang w:val="en"/>
        </w:rPr>
        <w:t>–</w:t>
      </w:r>
      <w:r w:rsidR="0067144B">
        <w:rPr>
          <w:rFonts w:asciiTheme="minorHAnsi" w:hAnsiTheme="minorHAnsi" w:cstheme="minorHAnsi"/>
          <w:bCs/>
          <w:sz w:val="22"/>
          <w:lang w:val="en"/>
        </w:rPr>
        <w:t xml:space="preserve"> </w:t>
      </w:r>
      <w:r w:rsidR="00DB766F">
        <w:rPr>
          <w:rFonts w:asciiTheme="minorHAnsi" w:hAnsiTheme="minorHAnsi" w:cstheme="minorHAnsi"/>
          <w:bCs/>
          <w:sz w:val="22"/>
          <w:lang w:val="en"/>
        </w:rPr>
        <w:t>Marty reviewed the details of the mid-month analysis. CBRE is now in the buy zone</w:t>
      </w:r>
    </w:p>
    <w:p w:rsidR="005D1E3D" w:rsidRDefault="005D1E3D" w:rsidP="005D1E3D">
      <w:pPr>
        <w:pStyle w:val="NoSpacing"/>
        <w:widowControl w:val="0"/>
        <w:rPr>
          <w:rFonts w:asciiTheme="minorHAnsi" w:hAnsiTheme="minorHAnsi" w:cstheme="minorHAnsi"/>
          <w:bCs/>
          <w:sz w:val="22"/>
          <w:lang w:val="en"/>
        </w:rPr>
      </w:pPr>
    </w:p>
    <w:p w:rsidR="00210734" w:rsidRDefault="007361A8">
      <w:pPr>
        <w:widowControl w:val="0"/>
        <w:spacing w:after="0" w:line="240" w:lineRule="auto"/>
        <w:rPr>
          <w:rFonts w:cstheme="minorHAnsi"/>
          <w:lang w:val="en"/>
        </w:rPr>
      </w:pPr>
      <w:r>
        <w:rPr>
          <w:rFonts w:cstheme="minorHAnsi"/>
          <w:b/>
          <w:bCs/>
          <w:u w:val="single"/>
          <w:lang w:val="en"/>
        </w:rPr>
        <w:t>New Business:</w:t>
      </w:r>
      <w:r>
        <w:rPr>
          <w:rFonts w:cstheme="minorHAnsi"/>
          <w:lang w:val="en"/>
        </w:rPr>
        <w:t xml:space="preserve"> </w:t>
      </w:r>
    </w:p>
    <w:p w:rsidR="00210734" w:rsidRPr="00CB59E4" w:rsidRDefault="0067144B">
      <w:pPr>
        <w:pStyle w:val="ListParagraph"/>
        <w:widowControl w:val="0"/>
        <w:numPr>
          <w:ilvl w:val="0"/>
          <w:numId w:val="3"/>
        </w:numPr>
        <w:spacing w:after="0" w:line="240" w:lineRule="auto"/>
      </w:pPr>
      <w:r>
        <w:rPr>
          <w:rFonts w:cstheme="minorHAnsi"/>
          <w:lang w:val="en"/>
        </w:rPr>
        <w:t>Dene: New IRS law concerns auditing partnerships and requires a designated Partnership Representative</w:t>
      </w:r>
      <w:r w:rsidR="00BA7BBC">
        <w:rPr>
          <w:rFonts w:cstheme="minorHAnsi"/>
          <w:lang w:val="en"/>
        </w:rPr>
        <w:t xml:space="preserve"> (PR)</w:t>
      </w:r>
      <w:r>
        <w:rPr>
          <w:rFonts w:cstheme="minorHAnsi"/>
          <w:lang w:val="en"/>
        </w:rPr>
        <w:t xml:space="preserve"> to lia</w:t>
      </w:r>
      <w:r w:rsidR="00BA7BBC">
        <w:rPr>
          <w:rFonts w:cstheme="minorHAnsi"/>
          <w:lang w:val="en"/>
        </w:rPr>
        <w:t>i</w:t>
      </w:r>
      <w:r>
        <w:rPr>
          <w:rFonts w:cstheme="minorHAnsi"/>
          <w:lang w:val="en"/>
        </w:rPr>
        <w:t xml:space="preserve">se with the IRS during an audit. Because some members are registered as trusteeships, </w:t>
      </w:r>
      <w:proofErr w:type="spellStart"/>
      <w:r>
        <w:rPr>
          <w:rFonts w:cstheme="minorHAnsi"/>
          <w:lang w:val="en"/>
        </w:rPr>
        <w:t>CinMIC</w:t>
      </w:r>
      <w:proofErr w:type="spellEnd"/>
      <w:r>
        <w:rPr>
          <w:rFonts w:cstheme="minorHAnsi"/>
          <w:lang w:val="en"/>
        </w:rPr>
        <w:t xml:space="preserve"> must appoint </w:t>
      </w:r>
      <w:r w:rsidR="00BA7BBC">
        <w:rPr>
          <w:rFonts w:cstheme="minorHAnsi"/>
          <w:lang w:val="en"/>
        </w:rPr>
        <w:lastRenderedPageBreak/>
        <w:t>a PR</w:t>
      </w:r>
      <w:r>
        <w:rPr>
          <w:rFonts w:cstheme="minorHAnsi"/>
          <w:lang w:val="en"/>
        </w:rPr>
        <w:t>.</w:t>
      </w:r>
    </w:p>
    <w:p w:rsidR="00CB59E4" w:rsidRPr="005D1E3D" w:rsidRDefault="00CB59E4">
      <w:pPr>
        <w:pStyle w:val="ListParagraph"/>
        <w:widowControl w:val="0"/>
        <w:numPr>
          <w:ilvl w:val="0"/>
          <w:numId w:val="3"/>
        </w:numPr>
        <w:spacing w:after="0" w:line="240" w:lineRule="auto"/>
      </w:pPr>
      <w:r>
        <w:rPr>
          <w:rFonts w:cstheme="minorHAnsi"/>
          <w:lang w:val="en"/>
        </w:rPr>
        <w:t>Dene volunteered to head a committee to draft an amendment to the Partnership Agreement. Committee members will be Dene, Betsy, and Michele.</w:t>
      </w:r>
    </w:p>
    <w:p w:rsidR="005D1E3D" w:rsidRDefault="005D1E3D" w:rsidP="005D1E3D">
      <w:pPr>
        <w:pStyle w:val="ListParagraph"/>
        <w:widowControl w:val="0"/>
        <w:numPr>
          <w:ilvl w:val="0"/>
          <w:numId w:val="11"/>
        </w:numPr>
        <w:spacing w:after="0" w:line="240" w:lineRule="auto"/>
      </w:pPr>
      <w:r>
        <w:t>Reminder: Education and Stock Study schedule below – please know when you will present and send your topic at least one week in advance of the meeting</w:t>
      </w:r>
      <w:r w:rsidR="00272F49">
        <w:t>.</w:t>
      </w:r>
    </w:p>
    <w:p w:rsidR="00210734" w:rsidRDefault="00210734">
      <w:pPr>
        <w:widowControl w:val="0"/>
        <w:tabs>
          <w:tab w:val="left" w:pos="994"/>
        </w:tabs>
        <w:spacing w:after="0" w:line="240" w:lineRule="auto"/>
        <w:rPr>
          <w:b/>
          <w:bCs/>
          <w:u w:val="single"/>
          <w:lang w:val="en"/>
        </w:rPr>
      </w:pPr>
    </w:p>
    <w:p w:rsidR="00210734" w:rsidRDefault="007361A8">
      <w:pPr>
        <w:widowControl w:val="0"/>
        <w:tabs>
          <w:tab w:val="left" w:pos="994"/>
        </w:tabs>
        <w:spacing w:after="0" w:line="240" w:lineRule="auto"/>
        <w:rPr>
          <w:bCs/>
          <w:lang w:val="en"/>
        </w:rPr>
      </w:pPr>
      <w:r>
        <w:rPr>
          <w:b/>
          <w:bCs/>
          <w:u w:val="single"/>
          <w:lang w:val="en"/>
        </w:rPr>
        <w:t>Education:</w:t>
      </w:r>
      <w:r w:rsidR="00DB766F">
        <w:rPr>
          <w:bCs/>
          <w:lang w:val="en"/>
        </w:rPr>
        <w:t xml:space="preserve"> Gerry: (</w:t>
      </w:r>
      <w:r w:rsidR="0067144B">
        <w:rPr>
          <w:bCs/>
          <w:lang w:val="en"/>
        </w:rPr>
        <w:t>absent</w:t>
      </w:r>
      <w:r w:rsidR="00CB59E4">
        <w:rPr>
          <w:bCs/>
          <w:lang w:val="en"/>
        </w:rPr>
        <w:t>)</w:t>
      </w:r>
    </w:p>
    <w:p w:rsidR="00210734" w:rsidRPr="00AA52AA" w:rsidRDefault="00210734">
      <w:pPr>
        <w:widowControl w:val="0"/>
        <w:tabs>
          <w:tab w:val="left" w:pos="994"/>
        </w:tabs>
        <w:spacing w:after="0" w:line="240" w:lineRule="auto"/>
        <w:rPr>
          <w:bCs/>
          <w:lang w:val="en"/>
        </w:rPr>
      </w:pPr>
    </w:p>
    <w:p w:rsidR="00210734" w:rsidRDefault="007361A8">
      <w:pPr>
        <w:spacing w:after="0" w:line="240" w:lineRule="auto"/>
        <w:rPr>
          <w:rFonts w:eastAsia="Times New Roman"/>
          <w:iCs/>
        </w:rPr>
      </w:pPr>
      <w:r w:rsidRPr="00AA52AA">
        <w:rPr>
          <w:b/>
          <w:u w:val="single"/>
        </w:rPr>
        <w:t>Close of the Bell</w:t>
      </w:r>
      <w:r w:rsidR="00DD0C95">
        <w:rPr>
          <w:b/>
          <w:u w:val="single"/>
        </w:rPr>
        <w:t xml:space="preserve"> Portfolio Report</w:t>
      </w:r>
      <w:r w:rsidR="00DB766F">
        <w:t>: Marty’s report</w:t>
      </w:r>
      <w:r w:rsidRPr="00AA52AA">
        <w:rPr>
          <w:rFonts w:eastAsia="Times New Roman"/>
        </w:rPr>
        <w:t xml:space="preserve"> </w:t>
      </w:r>
    </w:p>
    <w:p w:rsidR="00210734" w:rsidRPr="00AA52AA" w:rsidRDefault="007361A8">
      <w:pPr>
        <w:widowControl w:val="0"/>
        <w:spacing w:after="0" w:line="240" w:lineRule="auto"/>
        <w:rPr>
          <w:b/>
          <w:u w:val="single"/>
        </w:rPr>
      </w:pPr>
      <w:r w:rsidRPr="00AA52AA">
        <w:tab/>
      </w:r>
    </w:p>
    <w:p w:rsidR="00210734" w:rsidRDefault="007361A8">
      <w:pPr>
        <w:widowControl w:val="0"/>
        <w:spacing w:after="0" w:line="240" w:lineRule="auto"/>
        <w:rPr>
          <w:rFonts w:cstheme="minorHAnsi"/>
          <w:lang w:val="en"/>
        </w:rPr>
      </w:pPr>
      <w:r>
        <w:rPr>
          <w:rFonts w:cstheme="minorHAnsi"/>
          <w:b/>
          <w:bCs/>
          <w:u w:val="single"/>
          <w:lang w:val="en"/>
        </w:rPr>
        <w:t>Portfolio Review:</w:t>
      </w:r>
      <w:r>
        <w:rPr>
          <w:rFonts w:cstheme="minorHAnsi"/>
          <w:lang w:val="en"/>
        </w:rPr>
        <w:t xml:space="preserve"> </w:t>
      </w:r>
    </w:p>
    <w:tbl>
      <w:tblPr>
        <w:tblW w:w="108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70"/>
      </w:tblGrid>
      <w:tr w:rsidR="00DD0C95" w:rsidRPr="00EE72C6" w:rsidTr="0076304F">
        <w:trPr>
          <w:trHeight w:val="403"/>
          <w:jc w:val="center"/>
        </w:trPr>
        <w:tc>
          <w:tcPr>
            <w:tcW w:w="2330" w:type="dxa"/>
            <w:shd w:val="clear" w:color="auto" w:fill="auto"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/>
                <w:b/>
                <w:bCs/>
                <w:sz w:val="20"/>
                <w:szCs w:val="20"/>
              </w:rPr>
              <w:t>Stock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/>
                <w:b/>
                <w:bCs/>
                <w:sz w:val="20"/>
                <w:szCs w:val="20"/>
              </w:rPr>
              <w:t>Watcher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/>
                <w:b/>
                <w:bCs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/>
                <w:b/>
                <w:bCs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/>
                <w:b/>
                <w:bCs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/>
                <w:b/>
                <w:bCs/>
                <w:sz w:val="20"/>
                <w:szCs w:val="20"/>
              </w:rPr>
              <w:t>% of Portfolio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/>
                <w:b/>
                <w:bCs/>
                <w:sz w:val="20"/>
                <w:szCs w:val="20"/>
              </w:rPr>
              <w:t>Year End</w:t>
            </w:r>
          </w:p>
        </w:tc>
      </w:tr>
      <w:tr w:rsidR="00DD0C95" w:rsidRPr="00EE72C6" w:rsidTr="0076304F">
        <w:trPr>
          <w:trHeight w:val="261"/>
          <w:jc w:val="center"/>
        </w:trPr>
        <w:tc>
          <w:tcPr>
            <w:tcW w:w="2330" w:type="dxa"/>
            <w:shd w:val="clear" w:color="auto" w:fill="FFFFFF" w:themeFill="background1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Apogee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APOG</w:t>
            </w:r>
          </w:p>
        </w:tc>
        <w:tc>
          <w:tcPr>
            <w:tcW w:w="1370" w:type="dxa"/>
            <w:shd w:val="clear" w:color="auto" w:fill="FFFFFF" w:themeFill="background1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Nelson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Dec</w:t>
            </w:r>
          </w:p>
        </w:tc>
      </w:tr>
      <w:tr w:rsidR="00DD0C95" w:rsidRPr="00EE72C6" w:rsidTr="0076304F">
        <w:trPr>
          <w:trHeight w:val="261"/>
          <w:jc w:val="center"/>
        </w:trPr>
        <w:tc>
          <w:tcPr>
            <w:tcW w:w="2330" w:type="dxa"/>
            <w:shd w:val="clear" w:color="auto" w:fill="FFFFFF" w:themeFill="background1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AAPL</w:t>
            </w:r>
          </w:p>
        </w:tc>
        <w:tc>
          <w:tcPr>
            <w:tcW w:w="1370" w:type="dxa"/>
            <w:shd w:val="clear" w:color="auto" w:fill="FFFFFF" w:themeFill="background1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Jackie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12.2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Sep.</w:t>
            </w:r>
          </w:p>
        </w:tc>
      </w:tr>
      <w:tr w:rsidR="00DD0C95" w:rsidRPr="00EE72C6" w:rsidTr="0076304F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Dene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Dec</w:t>
            </w:r>
          </w:p>
        </w:tc>
      </w:tr>
      <w:tr w:rsidR="00DD0C95" w:rsidRPr="00EE72C6" w:rsidTr="0076304F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 xml:space="preserve">Cerner 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CERN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Gregory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Pr="00EE72C6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Dec</w:t>
            </w:r>
          </w:p>
        </w:tc>
      </w:tr>
      <w:tr w:rsidR="00DD0C95" w:rsidRPr="00EE72C6" w:rsidTr="0076304F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Cognizant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D0C95" w:rsidRPr="00334589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34589">
              <w:rPr>
                <w:rFonts w:eastAsia="Times New Roman"/>
                <w:sz w:val="20"/>
                <w:szCs w:val="20"/>
              </w:rPr>
              <w:t>CTSH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DD0C95" w:rsidRPr="00334589" w:rsidRDefault="00DD0C95" w:rsidP="007630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34589">
              <w:rPr>
                <w:rFonts w:eastAsia="Times New Roman"/>
                <w:sz w:val="20"/>
                <w:szCs w:val="20"/>
              </w:rPr>
              <w:t>Michele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Dec</w:t>
            </w:r>
          </w:p>
        </w:tc>
      </w:tr>
      <w:tr w:rsidR="00DD0C95" w:rsidRPr="00EE72C6" w:rsidTr="0076304F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CVS Health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D0C95" w:rsidRPr="00334589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34589">
              <w:rPr>
                <w:rFonts w:eastAsia="Times New Roman"/>
                <w:sz w:val="20"/>
                <w:szCs w:val="20"/>
              </w:rPr>
              <w:t>CVS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DD0C95" w:rsidRPr="00334589" w:rsidRDefault="00DD0C95" w:rsidP="007630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34589">
              <w:rPr>
                <w:rFonts w:eastAsia="Times New Roman"/>
                <w:sz w:val="20"/>
                <w:szCs w:val="20"/>
              </w:rPr>
              <w:t>Dene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DD0C95" w:rsidRPr="00EE72C6" w:rsidRDefault="00BA7BBC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 15sh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Dec</w:t>
            </w:r>
          </w:p>
        </w:tc>
      </w:tr>
      <w:tr w:rsidR="00DD0C95" w:rsidRPr="00EE72C6" w:rsidTr="0076304F">
        <w:trPr>
          <w:trHeight w:val="260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Dec</w:t>
            </w:r>
          </w:p>
        </w:tc>
      </w:tr>
      <w:tr w:rsidR="00DD0C95" w:rsidRPr="00EE72C6" w:rsidTr="0076304F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Dec</w:t>
            </w:r>
          </w:p>
        </w:tc>
      </w:tr>
      <w:tr w:rsidR="00DD0C95" w:rsidRPr="00EE72C6" w:rsidTr="0076304F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Frank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375</w:t>
            </w:r>
          </w:p>
        </w:tc>
        <w:tc>
          <w:tcPr>
            <w:tcW w:w="990" w:type="dxa"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Dec</w:t>
            </w:r>
          </w:p>
        </w:tc>
      </w:tr>
      <w:tr w:rsidR="00DD0C95" w:rsidRPr="00EE72C6" w:rsidTr="0076304F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Schlumberger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SLB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140</w:t>
            </w:r>
          </w:p>
        </w:tc>
        <w:tc>
          <w:tcPr>
            <w:tcW w:w="990" w:type="dxa"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Dec</w:t>
            </w:r>
          </w:p>
        </w:tc>
      </w:tr>
      <w:tr w:rsidR="00DD0C95" w:rsidRPr="00EE72C6" w:rsidTr="0076304F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Dec</w:t>
            </w:r>
          </w:p>
        </w:tc>
      </w:tr>
      <w:tr w:rsidR="00DD0C95" w:rsidRPr="00EE72C6" w:rsidTr="0076304F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SBUX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Gerry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DD0C95" w:rsidRPr="00FA7249" w:rsidRDefault="00D16D36" w:rsidP="0076304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D16D36"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D0C95" w:rsidRPr="00FA7249" w:rsidRDefault="00DD0C95" w:rsidP="0076304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Sep</w:t>
            </w:r>
          </w:p>
        </w:tc>
      </w:tr>
      <w:tr w:rsidR="00DD0C95" w:rsidRPr="00EE72C6" w:rsidTr="0076304F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Dec</w:t>
            </w:r>
          </w:p>
        </w:tc>
      </w:tr>
      <w:tr w:rsidR="00DD0C95" w:rsidRPr="00EE72C6" w:rsidTr="0076304F">
        <w:trPr>
          <w:trHeight w:val="170"/>
          <w:jc w:val="center"/>
        </w:trPr>
        <w:tc>
          <w:tcPr>
            <w:tcW w:w="10880" w:type="dxa"/>
            <w:gridSpan w:val="8"/>
            <w:shd w:val="clear" w:color="auto" w:fill="auto"/>
            <w:noWrap/>
            <w:vAlign w:val="center"/>
          </w:tcPr>
          <w:p w:rsidR="00DD0C95" w:rsidRPr="00EE72C6" w:rsidRDefault="00DD0C95" w:rsidP="00763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Pounce/Watch List</w:t>
            </w:r>
          </w:p>
        </w:tc>
      </w:tr>
    </w:tbl>
    <w:p w:rsidR="00CB59E4" w:rsidRDefault="00CB59E4">
      <w:pPr>
        <w:widowControl w:val="0"/>
        <w:spacing w:after="0" w:line="240" w:lineRule="auto"/>
        <w:rPr>
          <w:b/>
          <w:bCs/>
          <w:u w:val="single"/>
          <w:lang w:val="en"/>
        </w:rPr>
      </w:pPr>
    </w:p>
    <w:p w:rsidR="00210734" w:rsidRDefault="00CB59E4">
      <w:pPr>
        <w:widowControl w:val="0"/>
        <w:spacing w:after="0" w:line="240" w:lineRule="auto"/>
        <w:rPr>
          <w:bCs/>
          <w:lang w:val="en"/>
        </w:rPr>
      </w:pPr>
      <w:r>
        <w:rPr>
          <w:b/>
          <w:bCs/>
          <w:u w:val="single"/>
          <w:lang w:val="en"/>
        </w:rPr>
        <w:t>B</w:t>
      </w:r>
      <w:r w:rsidR="007361A8">
        <w:rPr>
          <w:b/>
          <w:bCs/>
          <w:u w:val="single"/>
          <w:lang w:val="en"/>
        </w:rPr>
        <w:t>uy/Sell Decisions:</w:t>
      </w:r>
      <w:r w:rsidR="007361A8">
        <w:rPr>
          <w:b/>
          <w:bCs/>
          <w:lang w:val="en"/>
        </w:rPr>
        <w:t xml:space="preserve"> </w:t>
      </w:r>
      <w:r w:rsidR="007361A8">
        <w:rPr>
          <w:bCs/>
          <w:lang w:val="en"/>
        </w:rPr>
        <w:t>(motion/second: action, type, yes/no/abstain)</w:t>
      </w:r>
    </w:p>
    <w:p w:rsidR="00DB766F" w:rsidRDefault="00DB766F" w:rsidP="00DB766F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lang w:val="en"/>
        </w:rPr>
      </w:pPr>
      <w:r>
        <w:rPr>
          <w:lang w:val="en"/>
        </w:rPr>
        <w:t>Dene/Nelson: buy 15sh of SBUX @window, 12/2/0</w:t>
      </w:r>
    </w:p>
    <w:p w:rsidR="00DD0C95" w:rsidRPr="00DB766F" w:rsidRDefault="00DB766F" w:rsidP="00DB766F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lang w:val="en"/>
        </w:rPr>
      </w:pPr>
      <w:r>
        <w:rPr>
          <w:lang w:val="en"/>
        </w:rPr>
        <w:t>Marty/Mary: buy 10sh of CBRE @window, 8/6/0</w:t>
      </w:r>
    </w:p>
    <w:p w:rsidR="00DD0C95" w:rsidRDefault="00DD0C95">
      <w:pPr>
        <w:widowControl w:val="0"/>
        <w:spacing w:after="0" w:line="240" w:lineRule="auto"/>
        <w:rPr>
          <w:lang w:val="en"/>
        </w:rPr>
      </w:pPr>
    </w:p>
    <w:p w:rsidR="00210734" w:rsidRDefault="007361A8">
      <w:pPr>
        <w:widowControl w:val="0"/>
        <w:spacing w:after="0" w:line="240" w:lineRule="auto"/>
        <w:rPr>
          <w:bCs/>
          <w:lang w:val="en"/>
        </w:rPr>
      </w:pPr>
      <w:r>
        <w:rPr>
          <w:b/>
          <w:bCs/>
          <w:u w:val="single"/>
          <w:lang w:val="en"/>
        </w:rPr>
        <w:t>Next Meeting</w:t>
      </w:r>
      <w:r>
        <w:rPr>
          <w:b/>
          <w:bCs/>
          <w:lang w:val="en"/>
        </w:rPr>
        <w:t>:</w:t>
      </w:r>
      <w:r>
        <w:rPr>
          <w:bCs/>
          <w:lang w:val="en"/>
        </w:rPr>
        <w:t xml:space="preserve"> </w:t>
      </w:r>
      <w:r>
        <w:rPr>
          <w:bCs/>
          <w:lang w:val="en"/>
        </w:rPr>
        <w:tab/>
      </w:r>
    </w:p>
    <w:p w:rsidR="00210734" w:rsidRDefault="007361A8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bCs/>
          <w:lang w:val="en"/>
        </w:rPr>
      </w:pPr>
      <w:r>
        <w:rPr>
          <w:bCs/>
          <w:lang w:val="en"/>
        </w:rPr>
        <w:t>M</w:t>
      </w:r>
      <w:r w:rsidR="00DD0C95">
        <w:rPr>
          <w:bCs/>
          <w:lang w:val="en"/>
        </w:rPr>
        <w:t>id-month Study Group: Sat, Aug 4</w:t>
      </w:r>
      <w:r>
        <w:rPr>
          <w:bCs/>
          <w:lang w:val="en"/>
        </w:rPr>
        <w:t xml:space="preserve">, on-line; Regular meeting: Sat, </w:t>
      </w:r>
      <w:r w:rsidR="00DD0C95">
        <w:rPr>
          <w:bCs/>
          <w:lang w:val="en"/>
        </w:rPr>
        <w:t>Aug 18, 9:45-11:45AM</w:t>
      </w:r>
      <w:r>
        <w:rPr>
          <w:bCs/>
          <w:lang w:val="en"/>
        </w:rPr>
        <w:t xml:space="preserve"> Room C</w:t>
      </w:r>
    </w:p>
    <w:p w:rsidR="00210734" w:rsidRDefault="00210734">
      <w:pPr>
        <w:pStyle w:val="ListParagraph"/>
        <w:widowControl w:val="0"/>
        <w:spacing w:after="0" w:line="240" w:lineRule="auto"/>
        <w:rPr>
          <w:bCs/>
          <w:lang w:val="en"/>
        </w:rPr>
      </w:pPr>
    </w:p>
    <w:p w:rsidR="00210734" w:rsidRPr="00AA52AA" w:rsidRDefault="007361A8">
      <w:pPr>
        <w:widowControl w:val="0"/>
        <w:spacing w:after="0" w:line="240" w:lineRule="auto"/>
        <w:rPr>
          <w:b/>
          <w:bCs/>
          <w:lang w:val="en"/>
        </w:rPr>
      </w:pPr>
      <w:r>
        <w:rPr>
          <w:b/>
          <w:bCs/>
          <w:u w:val="single"/>
          <w:lang w:val="en"/>
        </w:rPr>
        <w:t>Education and Stock Presentation Sche</w:t>
      </w:r>
      <w:r w:rsidR="00AA52AA">
        <w:rPr>
          <w:b/>
          <w:bCs/>
          <w:u w:val="single"/>
          <w:lang w:val="en"/>
        </w:rPr>
        <w:t xml:space="preserve">dule for 2018/2019: </w:t>
      </w:r>
      <w:r w:rsidR="00AA52AA" w:rsidRPr="00AA52AA">
        <w:rPr>
          <w:bCs/>
          <w:lang w:val="en"/>
        </w:rPr>
        <w:t>Revised to reflect changes:</w:t>
      </w:r>
    </w:p>
    <w:p w:rsidR="00210734" w:rsidRDefault="00D16D36">
      <w:pPr>
        <w:widowControl w:val="0"/>
        <w:spacing w:after="0" w:line="240" w:lineRule="auto"/>
        <w:rPr>
          <w:noProof/>
        </w:rPr>
      </w:pPr>
      <w:r w:rsidRPr="00D16D36">
        <w:drawing>
          <wp:inline distT="0" distB="0" distL="0" distR="0">
            <wp:extent cx="6858000" cy="2032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03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C95" w:rsidRDefault="00DD0C95">
      <w:pPr>
        <w:widowControl w:val="0"/>
        <w:spacing w:after="0" w:line="240" w:lineRule="auto"/>
        <w:rPr>
          <w:noProof/>
        </w:rPr>
      </w:pPr>
    </w:p>
    <w:p w:rsidR="00210734" w:rsidRDefault="007361A8">
      <w:pPr>
        <w:widowControl w:val="0"/>
        <w:spacing w:after="0" w:line="240" w:lineRule="auto"/>
      </w:pPr>
      <w:r>
        <w:rPr>
          <w:b/>
          <w:bCs/>
          <w:u w:val="single"/>
          <w:lang w:val="en"/>
        </w:rPr>
        <w:t>Adjourned:</w:t>
      </w:r>
      <w:r>
        <w:rPr>
          <w:b/>
          <w:bCs/>
          <w:lang w:val="en"/>
        </w:rPr>
        <w:t xml:space="preserve"> </w:t>
      </w:r>
      <w:r>
        <w:rPr>
          <w:bCs/>
          <w:lang w:val="en"/>
        </w:rPr>
        <w:t xml:space="preserve">by Rich </w:t>
      </w:r>
      <w:r w:rsidR="00DD0C95">
        <w:rPr>
          <w:bCs/>
          <w:lang w:val="en"/>
        </w:rPr>
        <w:t>at 11:</w:t>
      </w:r>
      <w:r w:rsidR="00CB59E4">
        <w:rPr>
          <w:bCs/>
          <w:lang w:val="en"/>
        </w:rPr>
        <w:t>35</w:t>
      </w:r>
      <w:r>
        <w:rPr>
          <w:bCs/>
          <w:lang w:val="en"/>
        </w:rPr>
        <w:t>a</w:t>
      </w:r>
    </w:p>
    <w:p w:rsidR="00210734" w:rsidRDefault="007361A8" w:rsidP="00BA7BBC">
      <w:pPr>
        <w:widowControl w:val="0"/>
        <w:spacing w:after="0" w:line="240" w:lineRule="auto"/>
      </w:pPr>
      <w:r>
        <w:rPr>
          <w:bCs/>
          <w:lang w:val="en"/>
        </w:rPr>
        <w:t>Submitted by Rich</w:t>
      </w:r>
      <w:r w:rsidR="00BA7BBC">
        <w:rPr>
          <w:bCs/>
          <w:lang w:val="en"/>
        </w:rPr>
        <w:t xml:space="preserve"> Alden, acting recording partner</w:t>
      </w:r>
    </w:p>
    <w:sectPr w:rsidR="00210734">
      <w:footerReference w:type="default" r:id="rId10"/>
      <w:pgSz w:w="12240" w:h="15840"/>
      <w:pgMar w:top="720" w:right="720" w:bottom="777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C97" w:rsidRDefault="009D4C97">
      <w:pPr>
        <w:spacing w:after="0" w:line="240" w:lineRule="auto"/>
      </w:pPr>
      <w:r>
        <w:separator/>
      </w:r>
    </w:p>
  </w:endnote>
  <w:endnote w:type="continuationSeparator" w:id="0">
    <w:p w:rsidR="009D4C97" w:rsidRDefault="009D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734" w:rsidRDefault="007361A8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C62AF1">
      <w:rPr>
        <w:noProof/>
      </w:rPr>
      <w:t>1</w:t>
    </w:r>
    <w:r>
      <w:fldChar w:fldCharType="end"/>
    </w:r>
  </w:p>
  <w:p w:rsidR="00210734" w:rsidRDefault="002107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C97" w:rsidRDefault="009D4C97">
      <w:pPr>
        <w:spacing w:after="0" w:line="240" w:lineRule="auto"/>
      </w:pPr>
      <w:r>
        <w:separator/>
      </w:r>
    </w:p>
  </w:footnote>
  <w:footnote w:type="continuationSeparator" w:id="0">
    <w:p w:rsidR="009D4C97" w:rsidRDefault="009D4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B4E4F"/>
    <w:multiLevelType w:val="multilevel"/>
    <w:tmpl w:val="F1C82D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CCA4AAE"/>
    <w:multiLevelType w:val="multilevel"/>
    <w:tmpl w:val="999690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AF731F0"/>
    <w:multiLevelType w:val="multilevel"/>
    <w:tmpl w:val="087E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F180609"/>
    <w:multiLevelType w:val="hybridMultilevel"/>
    <w:tmpl w:val="86BC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50B66"/>
    <w:multiLevelType w:val="multilevel"/>
    <w:tmpl w:val="FBF0C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6C16877"/>
    <w:multiLevelType w:val="multilevel"/>
    <w:tmpl w:val="D3F4D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E9D74C0"/>
    <w:multiLevelType w:val="hybridMultilevel"/>
    <w:tmpl w:val="BAD4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A36D1"/>
    <w:multiLevelType w:val="multilevel"/>
    <w:tmpl w:val="5CBE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5B063106"/>
    <w:multiLevelType w:val="multilevel"/>
    <w:tmpl w:val="0086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6FB11EA8"/>
    <w:multiLevelType w:val="multilevel"/>
    <w:tmpl w:val="9036D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C8B25BC"/>
    <w:multiLevelType w:val="hybridMultilevel"/>
    <w:tmpl w:val="93AC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34"/>
    <w:rsid w:val="000A44A0"/>
    <w:rsid w:val="000B6B20"/>
    <w:rsid w:val="000B7E87"/>
    <w:rsid w:val="00210734"/>
    <w:rsid w:val="00272F49"/>
    <w:rsid w:val="00285CF7"/>
    <w:rsid w:val="00372438"/>
    <w:rsid w:val="003F6168"/>
    <w:rsid w:val="00597EFE"/>
    <w:rsid w:val="005A0EB0"/>
    <w:rsid w:val="005D1E3D"/>
    <w:rsid w:val="0067144B"/>
    <w:rsid w:val="006E041F"/>
    <w:rsid w:val="007216E3"/>
    <w:rsid w:val="007361A8"/>
    <w:rsid w:val="0073759E"/>
    <w:rsid w:val="0085145C"/>
    <w:rsid w:val="00916292"/>
    <w:rsid w:val="009D4C97"/>
    <w:rsid w:val="00AA52AA"/>
    <w:rsid w:val="00BA7BBC"/>
    <w:rsid w:val="00C14AA3"/>
    <w:rsid w:val="00C62AF1"/>
    <w:rsid w:val="00CA5FD6"/>
    <w:rsid w:val="00CB59E4"/>
    <w:rsid w:val="00D16D36"/>
    <w:rsid w:val="00DB766F"/>
    <w:rsid w:val="00DD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F08D7C-94ED-4590-8EDD-7D6132B6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442140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avula1@comcas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25B1A-D7C1-4F65-8111-FDD29DB5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dc:description/>
  <cp:lastModifiedBy>RichA</cp:lastModifiedBy>
  <cp:revision>12</cp:revision>
  <cp:lastPrinted>2018-07-21T01:16:00Z</cp:lastPrinted>
  <dcterms:created xsi:type="dcterms:W3CDTF">2018-07-20T20:38:00Z</dcterms:created>
  <dcterms:modified xsi:type="dcterms:W3CDTF">2018-07-25T00:49:00Z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