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E120A" w14:textId="77777777" w:rsidR="00210734" w:rsidRDefault="007361A8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14:paraId="6E96C340" w14:textId="24DCC330" w:rsidR="00210734" w:rsidRPr="00461101" w:rsidRDefault="00BB631D">
      <w:pPr>
        <w:widowControl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Cs/>
          <w:lang w:val="en"/>
        </w:rPr>
        <w:t xml:space="preserve">Midpointe Public Library </w:t>
      </w:r>
      <w:r w:rsidR="00300B02">
        <w:rPr>
          <w:rFonts w:cstheme="minorHAnsi"/>
          <w:bCs/>
          <w:lang w:val="en"/>
        </w:rPr>
        <w:t xml:space="preserve">– </w:t>
      </w:r>
      <w:r>
        <w:rPr>
          <w:rFonts w:cstheme="minorHAnsi"/>
          <w:bCs/>
          <w:lang w:val="en"/>
        </w:rPr>
        <w:t>February 16</w:t>
      </w:r>
      <w:r w:rsidR="001F262F">
        <w:rPr>
          <w:rFonts w:cstheme="minorHAnsi"/>
          <w:bCs/>
          <w:lang w:val="en"/>
        </w:rPr>
        <w:t>, 2019</w:t>
      </w:r>
    </w:p>
    <w:p w14:paraId="28CD623E" w14:textId="77777777" w:rsidR="00210734" w:rsidRPr="00461101" w:rsidRDefault="00210734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6A3E9EE4" w14:textId="77777777" w:rsidR="00210734" w:rsidRPr="00461101" w:rsidRDefault="007361A8">
      <w:pPr>
        <w:widowControl w:val="0"/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bCs/>
          <w:u w:val="single"/>
          <w:lang w:val="en"/>
        </w:rPr>
        <w:t>Call to Order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Presiding Partner Richard Alden</w:t>
      </w:r>
      <w:r w:rsidRPr="00461101">
        <w:rPr>
          <w:rFonts w:cstheme="minorHAnsi"/>
          <w:lang w:val="en"/>
        </w:rPr>
        <w:t xml:space="preserve"> cal</w:t>
      </w:r>
      <w:r w:rsidR="00372438" w:rsidRPr="00461101">
        <w:rPr>
          <w:rFonts w:cstheme="minorHAnsi"/>
          <w:lang w:val="en"/>
        </w:rPr>
        <w:t>l</w:t>
      </w:r>
      <w:r w:rsidR="001F262F">
        <w:rPr>
          <w:rFonts w:cstheme="minorHAnsi"/>
          <w:lang w:val="en"/>
        </w:rPr>
        <w:t xml:space="preserve">ed </w:t>
      </w:r>
      <w:r w:rsidR="00300B02">
        <w:rPr>
          <w:rFonts w:cstheme="minorHAnsi"/>
          <w:lang w:val="en"/>
        </w:rPr>
        <w:t>the meeting to order at 9:</w:t>
      </w:r>
      <w:r w:rsidR="00B72983">
        <w:rPr>
          <w:rFonts w:cstheme="minorHAnsi"/>
          <w:lang w:val="en"/>
        </w:rPr>
        <w:t>50a</w:t>
      </w:r>
      <w:r w:rsidRPr="00461101">
        <w:rPr>
          <w:rFonts w:cstheme="minorHAnsi"/>
          <w:lang w:val="en"/>
        </w:rPr>
        <w:t xml:space="preserve">. Proxies were noted. </w:t>
      </w:r>
    </w:p>
    <w:p w14:paraId="7F627DC5" w14:textId="3E911933" w:rsidR="001F262F" w:rsidRDefault="00CB59E4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lang w:val="en"/>
        </w:rPr>
        <w:t>Guests in Person:</w:t>
      </w:r>
      <w:r w:rsidR="00895A07">
        <w:rPr>
          <w:rFonts w:cstheme="minorHAnsi"/>
          <w:lang w:val="en"/>
        </w:rPr>
        <w:t xml:space="preserve"> </w:t>
      </w:r>
      <w:r w:rsidR="00767512">
        <w:rPr>
          <w:rFonts w:cstheme="minorHAnsi"/>
          <w:lang w:val="en"/>
        </w:rPr>
        <w:t>Tricia Master, Ariel Warren, Shaun McNeil, Rick Ady, Hunter Everett, Kim Sweet, Aretha Furr, Bill Meehan</w:t>
      </w:r>
      <w:r w:rsidR="00216B77">
        <w:rPr>
          <w:rFonts w:cstheme="minorHAnsi"/>
          <w:lang w:val="en"/>
        </w:rPr>
        <w:t xml:space="preserve">, Mary Dickie, Morgan Rutledge, </w:t>
      </w:r>
      <w:bookmarkStart w:id="0" w:name="_GoBack"/>
      <w:bookmarkEnd w:id="0"/>
    </w:p>
    <w:p w14:paraId="007FF2D2" w14:textId="73B69578" w:rsidR="001F262F" w:rsidRPr="001F262F" w:rsidRDefault="009E396D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lang w:val="en"/>
        </w:rPr>
        <w:t>Guests on</w:t>
      </w:r>
      <w:r w:rsidR="00B72983">
        <w:rPr>
          <w:rFonts w:cstheme="minorHAnsi"/>
          <w:b/>
          <w:lang w:val="en"/>
        </w:rPr>
        <w:t xml:space="preserve"> Web</w:t>
      </w:r>
      <w:r>
        <w:rPr>
          <w:rFonts w:cstheme="minorHAnsi"/>
          <w:b/>
          <w:lang w:val="en"/>
        </w:rPr>
        <w:t>inar</w:t>
      </w:r>
      <w:r w:rsidR="00B72983">
        <w:rPr>
          <w:rFonts w:cstheme="minorHAnsi"/>
          <w:b/>
          <w:lang w:val="en"/>
        </w:rPr>
        <w:t xml:space="preserve">: </w:t>
      </w:r>
      <w:r w:rsidR="00767512">
        <w:rPr>
          <w:rFonts w:cstheme="minorHAnsi"/>
          <w:b/>
          <w:lang w:val="en"/>
        </w:rPr>
        <w:t xml:space="preserve"> </w:t>
      </w:r>
      <w:r w:rsidR="00895A07">
        <w:rPr>
          <w:rFonts w:cstheme="minorHAnsi"/>
          <w:lang w:val="en"/>
        </w:rPr>
        <w:t>Latoya Jackson, Michael How</w:t>
      </w:r>
      <w:r w:rsidR="00767512" w:rsidRPr="00767512">
        <w:rPr>
          <w:rFonts w:cstheme="minorHAnsi"/>
          <w:lang w:val="en"/>
        </w:rPr>
        <w:t>croft</w:t>
      </w:r>
      <w:r w:rsidR="004859CD">
        <w:rPr>
          <w:rFonts w:cstheme="minorHAnsi"/>
          <w:lang w:val="en"/>
        </w:rPr>
        <w:t>, Larry Averbeck</w:t>
      </w:r>
      <w:r w:rsidR="00895A07">
        <w:rPr>
          <w:rFonts w:cstheme="minorHAnsi"/>
          <w:lang w:val="en"/>
        </w:rPr>
        <w:t>, Henrietta Goolsby</w:t>
      </w:r>
      <w:r w:rsidR="00216B77">
        <w:rPr>
          <w:rFonts w:cstheme="minorHAnsi"/>
          <w:lang w:val="en"/>
        </w:rPr>
        <w:t>, Linda Miller, Susan Tano</w:t>
      </w: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 w:rsidRPr="00461101" w14:paraId="0367E9EB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7930654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E66AC84" w14:textId="77777777" w:rsidR="00210734" w:rsidRPr="00461101" w:rsidRDefault="007361A8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3F52DC0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FE90AE0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A52EB0C" w14:textId="77777777" w:rsidR="00210734" w:rsidRPr="00461101" w:rsidRDefault="007361A8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A10039F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210734" w:rsidRPr="00461101" w14:paraId="229D37BF" w14:textId="77777777" w:rsidTr="00CB59E4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4859937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4539956" w14:textId="77777777" w:rsidR="00210734" w:rsidRPr="00461101" w:rsidRDefault="0076751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62E6796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D48BC2F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A6836FB" w14:textId="66DDD28F" w:rsidR="00210734" w:rsidRPr="00461101" w:rsidRDefault="00CF0CF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B122835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210734" w:rsidRPr="00461101" w14:paraId="1C25B951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4706099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63688A0" w14:textId="4438C820" w:rsidR="00210734" w:rsidRPr="00461101" w:rsidRDefault="00BB631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524410F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AE0BB9B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A8A1D5F" w14:textId="40E9FFE2" w:rsidR="00210734" w:rsidRPr="00461101" w:rsidRDefault="00BB631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F95AD4A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210734" w:rsidRPr="00461101" w14:paraId="26A29129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E430C33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D37EE13" w14:textId="43CC20A1" w:rsidR="00210734" w:rsidRPr="00461101" w:rsidRDefault="00BA730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5B517F6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F64EFAB" w14:textId="77777777"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E4B288C" w14:textId="77777777"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45F49E5" w14:textId="36D63372" w:rsidR="00210734" w:rsidRPr="00461101" w:rsidRDefault="00BA730E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Craig</w:t>
            </w:r>
          </w:p>
        </w:tc>
      </w:tr>
      <w:tr w:rsidR="00CB59E4" w:rsidRPr="00461101" w14:paraId="3860C9BF" w14:textId="77777777" w:rsidTr="00CB59E4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5A7A9DC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C2C4034" w14:textId="7F037C7F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8A7D837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A1EA134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41B1EF5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F7F7964" w14:textId="52806192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Jackie</w:t>
            </w:r>
          </w:p>
        </w:tc>
      </w:tr>
      <w:tr w:rsidR="00CB59E4" w:rsidRPr="00461101" w14:paraId="4C2AF622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42864BF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CADF4B6" w14:textId="222C10FB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891D7BD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E0E3D89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35B7C60" w14:textId="16736E56" w:rsidR="00CB59E4" w:rsidRPr="00461101" w:rsidRDefault="00FA2EF2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7BF2CEB" w14:textId="655C9316" w:rsidR="00CB59E4" w:rsidRPr="00461101" w:rsidRDefault="00FA2EF2" w:rsidP="00AD0DD3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Michele</w:t>
            </w:r>
          </w:p>
        </w:tc>
      </w:tr>
      <w:tr w:rsidR="00CB59E4" w:rsidRPr="00461101" w14:paraId="54B5A043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7314A20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61101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8F563F3" w14:textId="090C8A25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9082F33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A07B421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49658D1" w14:textId="7799EB1E" w:rsidR="00CB59E4" w:rsidRPr="00461101" w:rsidRDefault="00CF0CF5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6DA0318" w14:textId="77777777" w:rsidR="00CB59E4" w:rsidRPr="00461101" w:rsidRDefault="00CB59E4" w:rsidP="00AD0DD3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CB59E4" w:rsidRPr="00461101" w14:paraId="585542D6" w14:textId="77777777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6D1FD6F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0F47605" w14:textId="411C761F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D6090D5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CA10E41" w14:textId="77777777"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9AC830C" w14:textId="7BEC6471" w:rsidR="00CB59E4" w:rsidRPr="00461101" w:rsidRDefault="00BA730E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A2C1604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CB59E4" w:rsidRPr="00461101" w14:paraId="5571D13C" w14:textId="77777777" w:rsidTr="00CB59E4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9F1EC19" w14:textId="77777777" w:rsidR="00CB59E4" w:rsidRPr="00461101" w:rsidRDefault="00AD106A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Cheryl Harget</w:t>
            </w:r>
            <w:r w:rsidR="001D1B8E">
              <w:rPr>
                <w:rFonts w:cstheme="minorHAnsi"/>
                <w:lang w:val="en"/>
              </w:rPr>
              <w:t>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0FB6B8D" w14:textId="718CC838" w:rsidR="00CB59E4" w:rsidRPr="00461101" w:rsidRDefault="00BB631D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859CC5A" w14:textId="77777777"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8016126" w14:textId="77777777" w:rsidR="00CB59E4" w:rsidRPr="00461101" w:rsidRDefault="00740779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Philip Baxman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7F8E173" w14:textId="2B839586" w:rsidR="00CB59E4" w:rsidRPr="00461101" w:rsidRDefault="00FA2EF2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(x)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1EDA8CE" w14:textId="720C0A0C" w:rsidR="00CB59E4" w:rsidRPr="00461101" w:rsidRDefault="00FA2EF2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Marty</w:t>
            </w:r>
          </w:p>
        </w:tc>
      </w:tr>
    </w:tbl>
    <w:p w14:paraId="0A74C1F1" w14:textId="77777777"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3C40F78B" w14:textId="77777777" w:rsidR="00210734" w:rsidRPr="00461101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236563CB" w14:textId="77777777"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Recording Partner’s Report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</w:t>
      </w:r>
      <w:r w:rsidR="001F262F">
        <w:rPr>
          <w:rFonts w:cstheme="minorHAnsi"/>
          <w:lang w:val="en"/>
        </w:rPr>
        <w:t xml:space="preserve">Minutes of the </w:t>
      </w:r>
      <w:r w:rsidR="00767512">
        <w:rPr>
          <w:rFonts w:cstheme="minorHAnsi"/>
          <w:lang w:val="en"/>
        </w:rPr>
        <w:t>Jan 19, 2019</w:t>
      </w:r>
      <w:r w:rsidRPr="00461101">
        <w:rPr>
          <w:rFonts w:cstheme="minorHAnsi"/>
          <w:lang w:val="en"/>
        </w:rPr>
        <w:t xml:space="preserve"> </w:t>
      </w:r>
      <w:r w:rsidR="00CB59E4" w:rsidRPr="00461101">
        <w:rPr>
          <w:rFonts w:cstheme="minorHAnsi"/>
          <w:lang w:val="en"/>
        </w:rPr>
        <w:t>meeting w</w:t>
      </w:r>
      <w:r w:rsidR="001F262F">
        <w:rPr>
          <w:rFonts w:cstheme="minorHAnsi"/>
          <w:lang w:val="en"/>
        </w:rPr>
        <w:t xml:space="preserve">ere approved as posted on Jan </w:t>
      </w:r>
      <w:r w:rsidR="00767512">
        <w:rPr>
          <w:rFonts w:cstheme="minorHAnsi"/>
          <w:lang w:val="en"/>
        </w:rPr>
        <w:t>20</w:t>
      </w:r>
      <w:r w:rsidR="001F262F">
        <w:rPr>
          <w:rFonts w:cstheme="minorHAnsi"/>
          <w:lang w:val="en"/>
        </w:rPr>
        <w:t>, 2019</w:t>
      </w:r>
      <w:r w:rsidR="00CB59E4" w:rsidRPr="00461101">
        <w:rPr>
          <w:rFonts w:cstheme="minorHAnsi"/>
          <w:lang w:val="en"/>
        </w:rPr>
        <w:t>.</w:t>
      </w:r>
    </w:p>
    <w:p w14:paraId="03B2237D" w14:textId="77777777" w:rsidR="00210734" w:rsidRPr="00461101" w:rsidRDefault="00210734">
      <w:pPr>
        <w:widowControl w:val="0"/>
        <w:spacing w:after="0" w:line="240" w:lineRule="auto"/>
        <w:rPr>
          <w:rFonts w:cstheme="minorHAnsi"/>
          <w:lang w:val="en"/>
        </w:rPr>
      </w:pPr>
    </w:p>
    <w:p w14:paraId="6408237C" w14:textId="77777777"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Financial Partner’s Report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lang w:val="en"/>
        </w:rPr>
        <w:t xml:space="preserve"> </w:t>
      </w:r>
    </w:p>
    <w:p w14:paraId="27464B47" w14:textId="77777777" w:rsidR="00210734" w:rsidRPr="00767512" w:rsidRDefault="007216E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61101">
        <w:rPr>
          <w:rFonts w:cstheme="minorHAnsi"/>
          <w:lang w:val="en"/>
        </w:rPr>
        <w:t>Current cash: $</w:t>
      </w:r>
      <w:r w:rsidR="00767512">
        <w:rPr>
          <w:rFonts w:cstheme="minorHAnsi"/>
        </w:rPr>
        <w:t>6731.32</w:t>
      </w:r>
      <w:r w:rsidR="007361A8" w:rsidRPr="00461101">
        <w:rPr>
          <w:rFonts w:cstheme="minorHAnsi"/>
          <w:lang w:val="en"/>
        </w:rPr>
        <w:t>; There are no limit orders</w:t>
      </w:r>
    </w:p>
    <w:p w14:paraId="4EC2A69A" w14:textId="77777777" w:rsidR="00767512" w:rsidRPr="00461101" w:rsidRDefault="00767512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lang w:val="en"/>
        </w:rPr>
        <w:t>Members were asked to self audit their contributions for 2018 taxes.  All have responded.  Marty, Dene &amp; Philip will assist with the audit.</w:t>
      </w:r>
    </w:p>
    <w:p w14:paraId="1C7E4A8C" w14:textId="77777777" w:rsidR="00767512" w:rsidRDefault="00767512">
      <w:pPr>
        <w:pStyle w:val="NoSpacing"/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</w:pPr>
    </w:p>
    <w:p w14:paraId="33FEA637" w14:textId="77777777" w:rsidR="00210734" w:rsidRPr="00461101" w:rsidRDefault="007361A8">
      <w:pPr>
        <w:pStyle w:val="NoSpacing"/>
        <w:rPr>
          <w:rFonts w:asciiTheme="minorHAnsi" w:hAnsiTheme="minorHAnsi" w:cstheme="minorHAnsi"/>
          <w:color w:val="00000A"/>
          <w:sz w:val="22"/>
        </w:rPr>
      </w:pPr>
      <w:r w:rsidRPr="00461101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461101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461101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4B3B5F27" w14:textId="77777777" w:rsidR="00920A5E" w:rsidRPr="00767512" w:rsidRDefault="007361A8" w:rsidP="00767512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461101">
        <w:rPr>
          <w:rFonts w:asciiTheme="minorHAnsi" w:hAnsiTheme="minorHAnsi" w:cstheme="minorHAnsi"/>
          <w:color w:val="00000A"/>
          <w:sz w:val="22"/>
        </w:rPr>
        <w:t xml:space="preserve">Classes and webinars: see </w:t>
      </w:r>
      <w:proofErr w:type="spellStart"/>
      <w:r w:rsidRPr="00461101">
        <w:rPr>
          <w:rFonts w:asciiTheme="minorHAnsi" w:hAnsiTheme="minorHAnsi" w:cstheme="minorHAnsi"/>
          <w:color w:val="00000A"/>
          <w:sz w:val="22"/>
        </w:rPr>
        <w:t>BetterInvesting</w:t>
      </w:r>
      <w:proofErr w:type="spellEnd"/>
      <w:r w:rsidRPr="00461101">
        <w:rPr>
          <w:rFonts w:asciiTheme="minorHAnsi" w:hAnsiTheme="minorHAnsi" w:cstheme="minorHAnsi"/>
          <w:color w:val="00000A"/>
          <w:sz w:val="22"/>
        </w:rPr>
        <w:t xml:space="preserve"> Magazine “ONLINE” section opposite CONTENTS o</w:t>
      </w:r>
      <w:r w:rsidRPr="00461101">
        <w:rPr>
          <w:rFonts w:asciiTheme="minorHAnsi" w:hAnsiTheme="minorHAnsi" w:cstheme="minorHAnsi"/>
          <w:sz w:val="22"/>
        </w:rPr>
        <w:t xml:space="preserve">r visit the web site under Events. </w:t>
      </w:r>
    </w:p>
    <w:p w14:paraId="3FBE2679" w14:textId="77777777" w:rsidR="00573F95" w:rsidRPr="00767512" w:rsidRDefault="00573F95" w:rsidP="0000680E">
      <w:pPr>
        <w:pStyle w:val="NoSpacing"/>
        <w:widowControl w:val="0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bCs/>
          <w:color w:val="000000"/>
          <w:sz w:val="22"/>
          <w:lang w:val="en"/>
        </w:rPr>
      </w:pPr>
      <w:proofErr w:type="spellStart"/>
      <w:r w:rsidRPr="00920A5E">
        <w:rPr>
          <w:rFonts w:asciiTheme="minorHAnsi" w:hAnsiTheme="minorHAnsi" w:cstheme="minorHAnsi"/>
          <w:sz w:val="22"/>
        </w:rPr>
        <w:t>CinMIC</w:t>
      </w:r>
      <w:proofErr w:type="spellEnd"/>
      <w:r w:rsidRPr="00920A5E">
        <w:rPr>
          <w:rFonts w:asciiTheme="minorHAnsi" w:hAnsiTheme="minorHAnsi" w:cstheme="minorHAnsi"/>
          <w:sz w:val="22"/>
        </w:rPr>
        <w:t xml:space="preserve"> </w:t>
      </w:r>
      <w:r w:rsidR="00920A5E">
        <w:rPr>
          <w:rFonts w:asciiTheme="minorHAnsi" w:hAnsiTheme="minorHAnsi" w:cstheme="minorHAnsi"/>
          <w:sz w:val="22"/>
        </w:rPr>
        <w:t xml:space="preserve">member </w:t>
      </w:r>
      <w:r w:rsidRPr="00920A5E">
        <w:rPr>
          <w:rFonts w:asciiTheme="minorHAnsi" w:hAnsiTheme="minorHAnsi" w:cstheme="minorHAnsi"/>
          <w:sz w:val="22"/>
        </w:rPr>
        <w:t xml:space="preserve">resources: </w:t>
      </w:r>
      <w:hyperlink r:id="rId9" w:history="1">
        <w:proofErr w:type="spellStart"/>
        <w:r w:rsidRPr="00920A5E">
          <w:rPr>
            <w:rStyle w:val="Hyperlink"/>
            <w:rFonts w:asciiTheme="minorHAnsi" w:hAnsiTheme="minorHAnsi" w:cstheme="minorHAnsi"/>
            <w:sz w:val="22"/>
          </w:rPr>
          <w:t>CinMIC</w:t>
        </w:r>
        <w:proofErr w:type="spellEnd"/>
        <w:r w:rsidRPr="00920A5E">
          <w:rPr>
            <w:rStyle w:val="Hyperlink"/>
            <w:rFonts w:asciiTheme="minorHAnsi" w:hAnsiTheme="minorHAnsi" w:cstheme="minorHAnsi"/>
            <w:sz w:val="22"/>
          </w:rPr>
          <w:t xml:space="preserve"> Portfolio</w:t>
        </w:r>
      </w:hyperlink>
      <w:r w:rsidRPr="00920A5E">
        <w:rPr>
          <w:rStyle w:val="Hyperlink"/>
          <w:rFonts w:asciiTheme="minorHAnsi" w:hAnsiTheme="minorHAnsi" w:cstheme="minorHAnsi"/>
          <w:color w:val="auto"/>
          <w:sz w:val="22"/>
        </w:rPr>
        <w:t xml:space="preserve">; </w:t>
      </w:r>
      <w:hyperlink r:id="rId10" w:history="1">
        <w:r w:rsidRPr="00920A5E">
          <w:rPr>
            <w:rStyle w:val="Hyperlink"/>
            <w:rFonts w:asciiTheme="minorHAnsi" w:hAnsiTheme="minorHAnsi" w:cstheme="minorHAnsi"/>
            <w:sz w:val="22"/>
          </w:rPr>
          <w:t>Pounce List Companies</w:t>
        </w:r>
      </w:hyperlink>
      <w:r w:rsidR="00920A5E" w:rsidRPr="00920A5E">
        <w:rPr>
          <w:rFonts w:asciiTheme="minorHAnsi" w:hAnsiTheme="minorHAnsi" w:cstheme="minorHAnsi"/>
          <w:sz w:val="22"/>
        </w:rPr>
        <w:t xml:space="preserve">; </w:t>
      </w:r>
      <w:hyperlink r:id="rId11" w:history="1">
        <w:r w:rsidR="00920A5E" w:rsidRPr="00920A5E">
          <w:rPr>
            <w:rStyle w:val="Hyperlink"/>
            <w:rFonts w:asciiTheme="minorHAnsi" w:hAnsiTheme="minorHAnsi" w:cstheme="minorHAnsi"/>
            <w:sz w:val="22"/>
          </w:rPr>
          <w:t>Stocks to Study</w:t>
        </w:r>
      </w:hyperlink>
    </w:p>
    <w:p w14:paraId="7CD6B87C" w14:textId="77777777" w:rsidR="00767512" w:rsidRPr="00BA730E" w:rsidRDefault="00767512" w:rsidP="0000680E">
      <w:pPr>
        <w:pStyle w:val="NoSpacing"/>
        <w:widowControl w:val="0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u w:val="none"/>
          <w:lang w:val="en"/>
        </w:rPr>
      </w:pPr>
      <w:r w:rsidRPr="00BA730E">
        <w:rPr>
          <w:rStyle w:val="Hyperlink"/>
          <w:rFonts w:asciiTheme="minorHAnsi" w:hAnsiTheme="minorHAnsi" w:cstheme="minorHAnsi"/>
          <w:color w:val="000000" w:themeColor="text1"/>
          <w:sz w:val="22"/>
          <w:u w:val="none"/>
        </w:rPr>
        <w:t>March 30, La Quinta Inn in Sharonville, Investor’s Education Day</w:t>
      </w:r>
    </w:p>
    <w:p w14:paraId="20FBB5D2" w14:textId="56B87F96" w:rsidR="00BA730E" w:rsidRPr="00BA730E" w:rsidRDefault="00BA730E" w:rsidP="0000680E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  <w:sz w:val="22"/>
          <w:lang w:val="en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u w:val="none"/>
        </w:rPr>
        <w:t xml:space="preserve">Better Investing National Convention, Mid May in </w:t>
      </w:r>
      <w:proofErr w:type="gramStart"/>
      <w:r>
        <w:rPr>
          <w:rStyle w:val="Hyperlink"/>
          <w:rFonts w:asciiTheme="minorHAnsi" w:hAnsiTheme="minorHAnsi" w:cstheme="minorHAnsi"/>
          <w:color w:val="000000" w:themeColor="text1"/>
          <w:sz w:val="22"/>
          <w:u w:val="none"/>
        </w:rPr>
        <w:t>Chicago ,</w:t>
      </w:r>
      <w:proofErr w:type="gramEnd"/>
      <w:r>
        <w:rPr>
          <w:rStyle w:val="Hyperlink"/>
          <w:rFonts w:asciiTheme="minorHAnsi" w:hAnsiTheme="minorHAnsi" w:cstheme="minorHAnsi"/>
          <w:color w:val="000000" w:themeColor="text1"/>
          <w:sz w:val="22"/>
          <w:u w:val="none"/>
        </w:rPr>
        <w:t xml:space="preserve"> Registration is open at the BI Website</w:t>
      </w:r>
    </w:p>
    <w:p w14:paraId="547066A8" w14:textId="77777777" w:rsidR="005477CB" w:rsidRPr="00BA730E" w:rsidRDefault="005477CB" w:rsidP="005477CB">
      <w:pPr>
        <w:widowControl w:val="0"/>
        <w:spacing w:after="0" w:line="240" w:lineRule="auto"/>
        <w:rPr>
          <w:rFonts w:cstheme="minorHAnsi"/>
          <w:b/>
          <w:bCs/>
          <w:color w:val="000000" w:themeColor="text1"/>
          <w:lang w:val="en"/>
        </w:rPr>
      </w:pPr>
    </w:p>
    <w:p w14:paraId="503DFB29" w14:textId="2FA3247F" w:rsidR="00AC5086" w:rsidRDefault="005477CB" w:rsidP="00AC5086">
      <w:pPr>
        <w:rPr>
          <w:i/>
          <w:iCs/>
          <w:sz w:val="20"/>
          <w:szCs w:val="20"/>
        </w:rPr>
      </w:pPr>
      <w:r w:rsidRPr="00461101">
        <w:rPr>
          <w:rFonts w:cstheme="minorHAnsi"/>
          <w:b/>
          <w:bCs/>
          <w:u w:val="single"/>
          <w:lang w:val="en"/>
        </w:rPr>
        <w:t>Old Business:</w:t>
      </w:r>
      <w:r w:rsidRPr="00461101">
        <w:rPr>
          <w:rFonts w:cstheme="minorHAnsi"/>
          <w:lang w:val="en"/>
        </w:rPr>
        <w:t xml:space="preserve"> </w:t>
      </w:r>
    </w:p>
    <w:p w14:paraId="771F0D60" w14:textId="18CDCA11" w:rsidR="005477CB" w:rsidRPr="00461101" w:rsidRDefault="005477CB" w:rsidP="005477CB">
      <w:pPr>
        <w:widowControl w:val="0"/>
        <w:spacing w:after="0" w:line="240" w:lineRule="auto"/>
        <w:rPr>
          <w:rFonts w:cstheme="minorHAnsi"/>
          <w:lang w:val="en"/>
        </w:rPr>
      </w:pPr>
    </w:p>
    <w:p w14:paraId="7D510D9D" w14:textId="642921F5" w:rsidR="001F262F" w:rsidRPr="00AC5086" w:rsidRDefault="001F262F" w:rsidP="00AC508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2984360D" w14:textId="77777777" w:rsidR="001F262F" w:rsidRPr="00461101" w:rsidRDefault="001F262F" w:rsidP="005D1E3D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501A477F" w14:textId="77777777" w:rsidR="005477CB" w:rsidRDefault="005477CB" w:rsidP="005477CB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New Business:</w:t>
      </w:r>
      <w:r w:rsidRPr="00461101">
        <w:rPr>
          <w:rFonts w:cstheme="minorHAnsi"/>
          <w:lang w:val="en"/>
        </w:rPr>
        <w:t xml:space="preserve"> </w:t>
      </w:r>
    </w:p>
    <w:p w14:paraId="68A51700" w14:textId="207054C3" w:rsidR="0016382E" w:rsidRPr="0016382E" w:rsidRDefault="0016382E" w:rsidP="0016382E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  <w:lang w:val="en"/>
        </w:rPr>
      </w:pPr>
      <w:r w:rsidRPr="0016382E">
        <w:rPr>
          <w:rFonts w:cstheme="minorHAnsi"/>
          <w:lang w:val="en"/>
        </w:rPr>
        <w:t>2019 Stock study and education schedule, revised.</w:t>
      </w:r>
    </w:p>
    <w:p w14:paraId="74D926EA" w14:textId="77777777" w:rsidR="00AC5086" w:rsidRDefault="00AC5086" w:rsidP="005477CB">
      <w:pPr>
        <w:widowControl w:val="0"/>
        <w:spacing w:after="0" w:line="240" w:lineRule="auto"/>
        <w:rPr>
          <w:rFonts w:cstheme="minorHAnsi"/>
          <w:lang w:val="en"/>
        </w:rPr>
      </w:pPr>
    </w:p>
    <w:p w14:paraId="03599D83" w14:textId="77777777" w:rsidR="00AC5086" w:rsidRPr="00FC69D5" w:rsidRDefault="00AC5086" w:rsidP="00AC5086">
      <w:pPr>
        <w:rPr>
          <w:rFonts w:eastAsia="Times New Roman"/>
          <w:sz w:val="20"/>
          <w:szCs w:val="20"/>
        </w:rPr>
      </w:pPr>
      <w:r w:rsidRPr="00FC69D5">
        <w:rPr>
          <w:rFonts w:eastAsia="Times New Roman"/>
          <w:sz w:val="20"/>
          <w:szCs w:val="20"/>
        </w:rPr>
        <w:t xml:space="preserve">Suggested procedure </w:t>
      </w:r>
      <w:r>
        <w:rPr>
          <w:rFonts w:eastAsia="Times New Roman"/>
          <w:sz w:val="20"/>
          <w:szCs w:val="20"/>
        </w:rPr>
        <w:t xml:space="preserve">from Michele </w:t>
      </w:r>
      <w:r w:rsidRPr="00FC69D5">
        <w:rPr>
          <w:rFonts w:eastAsia="Times New Roman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/>
          <w:sz w:val="20"/>
          <w:szCs w:val="20"/>
        </w:rPr>
        <w:t>CinMIC</w:t>
      </w:r>
      <w:proofErr w:type="spellEnd"/>
      <w:r w:rsidRPr="00FC69D5">
        <w:rPr>
          <w:rFonts w:eastAsia="Times New Roman"/>
          <w:sz w:val="20"/>
          <w:szCs w:val="20"/>
        </w:rPr>
        <w:t xml:space="preserve"> partners:</w:t>
      </w:r>
    </w:p>
    <w:p w14:paraId="1FFC5DB1" w14:textId="77777777" w:rsidR="00AC5086" w:rsidRDefault="00AC5086" w:rsidP="00AC5086">
      <w:pPr>
        <w:rPr>
          <w:i/>
          <w:iCs/>
          <w:sz w:val="20"/>
          <w:szCs w:val="20"/>
        </w:rPr>
      </w:pPr>
      <w:r w:rsidRPr="00FC69D5">
        <w:rPr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i/>
          <w:iCs/>
          <w:sz w:val="20"/>
          <w:szCs w:val="20"/>
        </w:rPr>
        <w:t>selecting</w:t>
      </w:r>
      <w:proofErr w:type="gramEnd"/>
      <w:r w:rsidRPr="00FC69D5">
        <w:rPr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12" w:history="1">
        <w:r w:rsidRPr="00FC69D5">
          <w:rPr>
            <w:rStyle w:val="Hyperlink"/>
            <w:i/>
            <w:iCs/>
            <w:sz w:val="20"/>
            <w:szCs w:val="20"/>
          </w:rPr>
          <w:t>cinmic@bivio.com</w:t>
        </w:r>
      </w:hyperlink>
      <w:r w:rsidRPr="00FC69D5">
        <w:rPr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14:paraId="171F3185" w14:textId="68FD9AD1" w:rsidR="004478F1" w:rsidRDefault="005D1E3D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New Stock Presentation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</w:t>
      </w:r>
      <w:r w:rsidR="00AC5086">
        <w:rPr>
          <w:rFonts w:cstheme="minorHAnsi"/>
          <w:bCs/>
          <w:lang w:val="en"/>
        </w:rPr>
        <w:t>Bill Mehan presents Lam Research (LRCX) for membership</w:t>
      </w:r>
    </w:p>
    <w:p w14:paraId="6F643909" w14:textId="77777777" w:rsidR="00AC5086" w:rsidRDefault="00AC5086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Strong position in their sector of semi-condutors, leader in sector</w:t>
      </w:r>
    </w:p>
    <w:p w14:paraId="5640F906" w14:textId="165EF814" w:rsidR="005C5C29" w:rsidRDefault="00AC5086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Connected world will cause proliferation of growth</w:t>
      </w:r>
    </w:p>
    <w:p w14:paraId="7DCBA055" w14:textId="77777777" w:rsidR="00AC5086" w:rsidRDefault="00AC5086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lastRenderedPageBreak/>
        <w:t xml:space="preserve">Weaknesses, needs more R&amp;D investment.  </w:t>
      </w:r>
    </w:p>
    <w:p w14:paraId="159E41C2" w14:textId="3460017D" w:rsidR="009E396D" w:rsidRDefault="00AC5086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Threats – EUV Lithography will create efficiency and reduce quantity of etchings.</w:t>
      </w:r>
    </w:p>
    <w:p w14:paraId="5DD6379B" w14:textId="0F146FF0" w:rsidR="00AC5086" w:rsidRDefault="00AC5086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Forecast 8% revenue growth in a down year</w:t>
      </w:r>
      <w:r w:rsidR="001C6864">
        <w:rPr>
          <w:rFonts w:cstheme="minorHAnsi"/>
          <w:bCs/>
          <w:lang w:val="en"/>
        </w:rPr>
        <w:t xml:space="preserve">. Currently in third quarter of 2019. </w:t>
      </w:r>
    </w:p>
    <w:p w14:paraId="08B4B9F3" w14:textId="184E4E09" w:rsidR="001C6864" w:rsidRDefault="001C6864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Analysts feel Lam will continue to outperform the industry.</w:t>
      </w:r>
    </w:p>
    <w:p w14:paraId="7AC193D5" w14:textId="6F51423F" w:rsidR="00EE49C9" w:rsidRDefault="00EE49C9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SSG reflects a weak buy, next earnings release in May</w:t>
      </w:r>
    </w:p>
    <w:p w14:paraId="1B674C12" w14:textId="64DE18A4" w:rsidR="00EE49C9" w:rsidRDefault="00EE49C9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Recommendation of a limit order if it should goes back down to $175</w:t>
      </w:r>
    </w:p>
    <w:p w14:paraId="67D30CC5" w14:textId="691E9EF8" w:rsidR="00E2480D" w:rsidRPr="009E396D" w:rsidRDefault="00E2480D" w:rsidP="0000680E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Bill’s membership application passed anonymously</w:t>
      </w:r>
    </w:p>
    <w:p w14:paraId="734D7C80" w14:textId="77777777" w:rsidR="001F262F" w:rsidRPr="00461101" w:rsidRDefault="001F262F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7EAE3035" w14:textId="6DFD130F" w:rsidR="007E2CCB" w:rsidRDefault="007361A8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Education:</w:t>
      </w:r>
      <w:r w:rsidR="00740779" w:rsidRPr="00461101">
        <w:rPr>
          <w:rFonts w:cstheme="minorHAnsi"/>
          <w:bCs/>
          <w:lang w:val="en"/>
        </w:rPr>
        <w:t xml:space="preserve"> </w:t>
      </w:r>
      <w:r w:rsidR="0000680E">
        <w:rPr>
          <w:rFonts w:cstheme="minorHAnsi"/>
          <w:bCs/>
          <w:lang w:val="en"/>
        </w:rPr>
        <w:t>Kate Lester</w:t>
      </w:r>
      <w:r w:rsidR="00AC5086">
        <w:rPr>
          <w:rFonts w:cstheme="minorHAnsi"/>
          <w:bCs/>
          <w:lang w:val="en"/>
        </w:rPr>
        <w:t>, Comparison of Gold and the Dow</w:t>
      </w:r>
    </w:p>
    <w:p w14:paraId="6225E476" w14:textId="214587B0" w:rsidR="00AC5086" w:rsidRPr="00A62A9C" w:rsidRDefault="001C6864" w:rsidP="007E2CCB">
      <w:pPr>
        <w:pStyle w:val="ListParagraph"/>
        <w:widowControl w:val="0"/>
        <w:numPr>
          <w:ilvl w:val="0"/>
          <w:numId w:val="23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Historical prices of gold and potential ways to invest, including ETFs, small and large miners, explorers and aggregators.</w:t>
      </w:r>
    </w:p>
    <w:p w14:paraId="62BA6AB7" w14:textId="77777777" w:rsidR="00AC5086" w:rsidRPr="00461101" w:rsidRDefault="00AC5086" w:rsidP="007E2CCB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14:paraId="7B4DC291" w14:textId="77777777" w:rsidR="00210734" w:rsidRDefault="00DD0C95">
      <w:pPr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u w:val="single"/>
        </w:rPr>
        <w:t>Portfolio Report</w:t>
      </w:r>
      <w:r w:rsidR="00740779" w:rsidRPr="00461101">
        <w:rPr>
          <w:rFonts w:cstheme="minorHAnsi"/>
        </w:rPr>
        <w:t>:</w:t>
      </w:r>
    </w:p>
    <w:p w14:paraId="712E2391" w14:textId="77777777" w:rsidR="001F262F" w:rsidRDefault="00BD2E5F" w:rsidP="00BD2E5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 have adopted the v3 form, much easier to get an overview and compare results</w:t>
      </w:r>
    </w:p>
    <w:p w14:paraId="12176B4A" w14:textId="77777777" w:rsidR="001F262F" w:rsidRDefault="00BD2E5F" w:rsidP="0000680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BD2E5F">
        <w:rPr>
          <w:rFonts w:cstheme="minorHAnsi"/>
        </w:rPr>
        <w:t xml:space="preserve">Version </w:t>
      </w:r>
      <w:r w:rsidR="00573F95">
        <w:rPr>
          <w:rFonts w:cstheme="minorHAnsi"/>
        </w:rPr>
        <w:t>4 available,</w:t>
      </w:r>
      <w:r w:rsidRPr="00BD2E5F">
        <w:rPr>
          <w:rFonts w:cstheme="minorHAnsi"/>
        </w:rPr>
        <w:t xml:space="preserve"> Craig has a detailed guide for newbies and experienced users as well</w:t>
      </w:r>
    </w:p>
    <w:p w14:paraId="277BA1DE" w14:textId="77777777" w:rsidR="00920A5E" w:rsidRDefault="00920A5E" w:rsidP="0000680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Please use v4 dated 1/15/19 for all future reports, delete old copies</w:t>
      </w:r>
    </w:p>
    <w:p w14:paraId="4CFD8D07" w14:textId="77777777" w:rsidR="001F262F" w:rsidRDefault="00BD2E5F" w:rsidP="0000680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BD2E5F">
        <w:rPr>
          <w:rFonts w:cstheme="minorHAnsi"/>
        </w:rPr>
        <w:t>Reminder to follow the file naming conventions</w:t>
      </w:r>
      <w:r w:rsidR="00920A5E">
        <w:rPr>
          <w:rFonts w:cstheme="minorHAnsi"/>
        </w:rPr>
        <w:t>: &lt;type of report&gt; &lt;ticker&gt; &lt;</w:t>
      </w:r>
      <w:proofErr w:type="spellStart"/>
      <w:r w:rsidR="00920A5E">
        <w:rPr>
          <w:rFonts w:cstheme="minorHAnsi"/>
        </w:rPr>
        <w:t>yymmdd</w:t>
      </w:r>
      <w:proofErr w:type="spellEnd"/>
      <w:r w:rsidR="00920A5E">
        <w:rPr>
          <w:rFonts w:cstheme="minorHAnsi"/>
        </w:rPr>
        <w:t>&gt; to allow the files to self-sort</w:t>
      </w:r>
    </w:p>
    <w:p w14:paraId="49612A8F" w14:textId="3E505E84" w:rsidR="00B51705" w:rsidRPr="00BD2E5F" w:rsidRDefault="00B51705" w:rsidP="0000680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SBUX </w:t>
      </w:r>
      <w:r w:rsidR="00B901F5">
        <w:rPr>
          <w:rFonts w:cstheme="minorHAnsi"/>
        </w:rPr>
        <w:t xml:space="preserve"> is</w:t>
      </w:r>
      <w:proofErr w:type="gramEnd"/>
      <w:r w:rsidR="00B901F5">
        <w:rPr>
          <w:rFonts w:cstheme="minorHAnsi"/>
        </w:rPr>
        <w:t xml:space="preserve"> at an all time high, although </w:t>
      </w:r>
      <w:r>
        <w:rPr>
          <w:rFonts w:cstheme="minorHAnsi"/>
        </w:rPr>
        <w:t>earnings down 60%</w:t>
      </w:r>
      <w:r w:rsidR="00E21780">
        <w:rPr>
          <w:rFonts w:cstheme="minorHAnsi"/>
        </w:rPr>
        <w:t xml:space="preserve"> over previous year end quarter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Valuline</w:t>
      </w:r>
      <w:proofErr w:type="spellEnd"/>
      <w:r>
        <w:rPr>
          <w:rFonts w:cstheme="minorHAnsi"/>
        </w:rPr>
        <w:t xml:space="preserve"> due out this week</w:t>
      </w:r>
    </w:p>
    <w:p w14:paraId="3618150B" w14:textId="77777777" w:rsidR="005477CB" w:rsidRPr="00461101" w:rsidRDefault="005477CB">
      <w:pPr>
        <w:spacing w:after="0" w:line="240" w:lineRule="auto"/>
        <w:rPr>
          <w:rFonts w:eastAsia="Times New Roman" w:cstheme="minorHAnsi"/>
        </w:rPr>
      </w:pPr>
    </w:p>
    <w:p w14:paraId="54EC161F" w14:textId="77777777" w:rsidR="00740779" w:rsidRPr="00461101" w:rsidRDefault="00740779">
      <w:pPr>
        <w:spacing w:after="0" w:line="240" w:lineRule="auto"/>
        <w:rPr>
          <w:rFonts w:eastAsia="Times New Roman" w:cstheme="minorHAnsi"/>
          <w:u w:val="single"/>
        </w:rPr>
      </w:pPr>
      <w:r w:rsidRPr="00461101">
        <w:rPr>
          <w:rFonts w:eastAsia="Times New Roman" w:cstheme="minorHAnsi"/>
          <w:b/>
          <w:u w:val="single"/>
        </w:rPr>
        <w:t>Review and Reflection:</w:t>
      </w:r>
      <w:r w:rsidRPr="00461101">
        <w:rPr>
          <w:rFonts w:eastAsia="Times New Roman" w:cstheme="minorHAnsi"/>
          <w:u w:val="single"/>
        </w:rPr>
        <w:t xml:space="preserve"> </w:t>
      </w:r>
    </w:p>
    <w:p w14:paraId="63DE88FF" w14:textId="1E0315FF" w:rsidR="001F262F" w:rsidRDefault="00415434" w:rsidP="009D4A8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Dene discussed </w:t>
      </w:r>
      <w:r w:rsidR="000505A1">
        <w:rPr>
          <w:rFonts w:eastAsia="Times New Roman" w:cstheme="minorHAnsi"/>
        </w:rPr>
        <w:t>Schlumberger and potential buying opportunity while it is low.</w:t>
      </w:r>
    </w:p>
    <w:p w14:paraId="1B238C90" w14:textId="408498B1" w:rsidR="00415434" w:rsidRDefault="00415434" w:rsidP="009D4A8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Craig having two </w:t>
      </w:r>
      <w:proofErr w:type="gramStart"/>
      <w:r>
        <w:rPr>
          <w:rFonts w:eastAsia="Times New Roman" w:cstheme="minorHAnsi"/>
        </w:rPr>
        <w:t>stock</w:t>
      </w:r>
      <w:proofErr w:type="gramEnd"/>
      <w:r>
        <w:rPr>
          <w:rFonts w:eastAsia="Times New Roman" w:cstheme="minorHAnsi"/>
        </w:rPr>
        <w:t xml:space="preserve"> study presentations next month rather than an education presentation.</w:t>
      </w:r>
    </w:p>
    <w:p w14:paraId="6C4663CD" w14:textId="1CFC5CEC" w:rsidR="009D4A8B" w:rsidRPr="005708FF" w:rsidRDefault="005708FF" w:rsidP="009D4A8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Michele mentioned there is some pending legal action against CVS.  In their role as benefit managers, they have been accused of reimbursing themselves at ta higher rate.</w:t>
      </w:r>
      <w:r w:rsidR="00237538">
        <w:rPr>
          <w:rFonts w:eastAsia="Times New Roman" w:cstheme="minorHAnsi"/>
        </w:rPr>
        <w:t xml:space="preserve">  Prototype health clinic in TX</w:t>
      </w:r>
      <w:r>
        <w:rPr>
          <w:rFonts w:eastAsia="Times New Roman" w:cstheme="minorHAnsi"/>
        </w:rPr>
        <w:t xml:space="preserve"> operational.  Earnings coming out 2/20.</w:t>
      </w:r>
    </w:p>
    <w:p w14:paraId="636FB332" w14:textId="77777777" w:rsidR="009D4A8B" w:rsidRDefault="009D4A8B" w:rsidP="009D4A8B">
      <w:pPr>
        <w:spacing w:after="0" w:line="240" w:lineRule="auto"/>
        <w:rPr>
          <w:rFonts w:eastAsia="Times New Roman" w:cstheme="minorHAnsi"/>
        </w:rPr>
      </w:pPr>
    </w:p>
    <w:p w14:paraId="4F3A6B97" w14:textId="77777777" w:rsidR="009D4A8B" w:rsidRPr="009D4A8B" w:rsidRDefault="009D4A8B" w:rsidP="009D4A8B">
      <w:pPr>
        <w:spacing w:after="0" w:line="240" w:lineRule="auto"/>
        <w:rPr>
          <w:rFonts w:eastAsia="Times New Roman" w:cstheme="minorHAnsi"/>
        </w:rPr>
      </w:pPr>
    </w:p>
    <w:p w14:paraId="6B3A84D6" w14:textId="77777777" w:rsidR="00210734" w:rsidRPr="00461101" w:rsidRDefault="00E70EFA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P</w:t>
      </w:r>
      <w:r w:rsidR="007361A8" w:rsidRPr="00461101">
        <w:rPr>
          <w:rFonts w:cstheme="minorHAnsi"/>
          <w:b/>
          <w:bCs/>
          <w:u w:val="single"/>
          <w:lang w:val="en"/>
        </w:rPr>
        <w:t>ortfolio Review:</w:t>
      </w:r>
      <w:r w:rsidR="007361A8" w:rsidRPr="00461101">
        <w:rPr>
          <w:rFonts w:cstheme="minorHAnsi"/>
          <w:lang w:val="en"/>
        </w:rPr>
        <w:t xml:space="preserve"> </w:t>
      </w:r>
    </w:p>
    <w:p w14:paraId="3F06FCA7" w14:textId="77777777" w:rsidR="005477CB" w:rsidRDefault="005477CB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3"/>
        <w:gridCol w:w="1503"/>
        <w:gridCol w:w="900"/>
        <w:gridCol w:w="1021"/>
        <w:gridCol w:w="1180"/>
      </w:tblGrid>
      <w:tr w:rsidR="00AC5086" w:rsidRPr="00AC5086" w14:paraId="30ABABA9" w14:textId="77777777" w:rsidTr="0073314E">
        <w:trPr>
          <w:trHeight w:val="403"/>
        </w:trPr>
        <w:tc>
          <w:tcPr>
            <w:tcW w:w="2330" w:type="dxa"/>
            <w:hideMark/>
          </w:tcPr>
          <w:p w14:paraId="4E3C6AC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Stock</w:t>
            </w:r>
          </w:p>
        </w:tc>
        <w:tc>
          <w:tcPr>
            <w:tcW w:w="1180" w:type="dxa"/>
            <w:hideMark/>
          </w:tcPr>
          <w:p w14:paraId="7ED871C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Symbol</w:t>
            </w:r>
          </w:p>
        </w:tc>
        <w:tc>
          <w:tcPr>
            <w:tcW w:w="1370" w:type="dxa"/>
            <w:hideMark/>
          </w:tcPr>
          <w:p w14:paraId="5091252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Watcher</w:t>
            </w:r>
          </w:p>
        </w:tc>
        <w:tc>
          <w:tcPr>
            <w:tcW w:w="1503" w:type="dxa"/>
            <w:hideMark/>
          </w:tcPr>
          <w:p w14:paraId="6B4AFE7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Watcher: Buy/Hold/Sell</w:t>
            </w:r>
          </w:p>
        </w:tc>
        <w:tc>
          <w:tcPr>
            <w:tcW w:w="1503" w:type="dxa"/>
            <w:hideMark/>
          </w:tcPr>
          <w:p w14:paraId="3710148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SSG: Buy/Hold/Sell</w:t>
            </w:r>
          </w:p>
        </w:tc>
        <w:tc>
          <w:tcPr>
            <w:tcW w:w="900" w:type="dxa"/>
            <w:hideMark/>
          </w:tcPr>
          <w:p w14:paraId="7EEFA8F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# </w:t>
            </w:r>
            <w:proofErr w:type="gramStart"/>
            <w:r w:rsidRPr="00AC5086">
              <w:rPr>
                <w:rFonts w:cstheme="minorHAnsi"/>
                <w:b/>
                <w:bCs/>
                <w:u w:val="single"/>
              </w:rPr>
              <w:t>of</w:t>
            </w:r>
            <w:proofErr w:type="gramEnd"/>
            <w:r w:rsidRPr="00AC5086">
              <w:rPr>
                <w:rFonts w:cstheme="minorHAnsi"/>
                <w:b/>
                <w:bCs/>
                <w:u w:val="single"/>
              </w:rPr>
              <w:t xml:space="preserve"> Shares</w:t>
            </w:r>
          </w:p>
        </w:tc>
        <w:tc>
          <w:tcPr>
            <w:tcW w:w="1021" w:type="dxa"/>
          </w:tcPr>
          <w:p w14:paraId="4B31576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% </w:t>
            </w:r>
            <w:proofErr w:type="gramStart"/>
            <w:r w:rsidRPr="00AC5086">
              <w:rPr>
                <w:rFonts w:cstheme="minorHAnsi"/>
                <w:b/>
                <w:bCs/>
                <w:u w:val="single"/>
              </w:rPr>
              <w:t>of</w:t>
            </w:r>
            <w:proofErr w:type="gramEnd"/>
            <w:r w:rsidRPr="00AC5086">
              <w:rPr>
                <w:rFonts w:cstheme="minorHAnsi"/>
                <w:b/>
                <w:bCs/>
                <w:u w:val="single"/>
              </w:rPr>
              <w:t xml:space="preserve"> Portfolio</w:t>
            </w:r>
          </w:p>
        </w:tc>
        <w:tc>
          <w:tcPr>
            <w:tcW w:w="1180" w:type="dxa"/>
            <w:hideMark/>
          </w:tcPr>
          <w:p w14:paraId="3EF3F93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Year End</w:t>
            </w:r>
          </w:p>
        </w:tc>
      </w:tr>
      <w:tr w:rsidR="00AC5086" w:rsidRPr="00AC5086" w14:paraId="6772969B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44E54A9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14:paraId="2B6B2E5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AAPL</w:t>
            </w:r>
          </w:p>
        </w:tc>
        <w:tc>
          <w:tcPr>
            <w:tcW w:w="1370" w:type="dxa"/>
            <w:noWrap/>
            <w:hideMark/>
          </w:tcPr>
          <w:p w14:paraId="49DC9A6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Jackie</w:t>
            </w:r>
          </w:p>
        </w:tc>
        <w:tc>
          <w:tcPr>
            <w:tcW w:w="1503" w:type="dxa"/>
            <w:noWrap/>
          </w:tcPr>
          <w:p w14:paraId="2F1BB45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54E12D9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5D9DD89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95</w:t>
            </w:r>
          </w:p>
        </w:tc>
        <w:tc>
          <w:tcPr>
            <w:tcW w:w="1021" w:type="dxa"/>
          </w:tcPr>
          <w:p w14:paraId="0B8BB6B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10.7</w:t>
            </w:r>
          </w:p>
        </w:tc>
        <w:tc>
          <w:tcPr>
            <w:tcW w:w="1180" w:type="dxa"/>
            <w:noWrap/>
            <w:hideMark/>
          </w:tcPr>
          <w:p w14:paraId="09ED160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Sep.</w:t>
            </w:r>
          </w:p>
        </w:tc>
      </w:tr>
      <w:tr w:rsidR="00AC5086" w:rsidRPr="00AC5086" w14:paraId="6F50F30C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32089B8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0F42DD5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13310F0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Cheryl</w:t>
            </w:r>
          </w:p>
        </w:tc>
        <w:tc>
          <w:tcPr>
            <w:tcW w:w="1503" w:type="dxa"/>
            <w:noWrap/>
          </w:tcPr>
          <w:p w14:paraId="5C1AEFB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1503" w:type="dxa"/>
            <w:noWrap/>
          </w:tcPr>
          <w:p w14:paraId="106A12D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5061D57D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150</w:t>
            </w:r>
          </w:p>
        </w:tc>
        <w:tc>
          <w:tcPr>
            <w:tcW w:w="1021" w:type="dxa"/>
          </w:tcPr>
          <w:p w14:paraId="5448014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8.9</w:t>
            </w:r>
          </w:p>
        </w:tc>
        <w:tc>
          <w:tcPr>
            <w:tcW w:w="1180" w:type="dxa"/>
            <w:noWrap/>
            <w:hideMark/>
          </w:tcPr>
          <w:p w14:paraId="696553E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632F2088" w14:textId="77777777" w:rsidTr="0073314E">
        <w:trPr>
          <w:trHeight w:val="261"/>
        </w:trPr>
        <w:tc>
          <w:tcPr>
            <w:tcW w:w="2330" w:type="dxa"/>
            <w:noWrap/>
          </w:tcPr>
          <w:p w14:paraId="0F8918A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CBRE Group</w:t>
            </w:r>
          </w:p>
        </w:tc>
        <w:tc>
          <w:tcPr>
            <w:tcW w:w="1180" w:type="dxa"/>
            <w:noWrap/>
          </w:tcPr>
          <w:p w14:paraId="1983C44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CBRE</w:t>
            </w:r>
          </w:p>
        </w:tc>
        <w:tc>
          <w:tcPr>
            <w:tcW w:w="1370" w:type="dxa"/>
            <w:noWrap/>
          </w:tcPr>
          <w:p w14:paraId="6F0D395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Mary</w:t>
            </w:r>
          </w:p>
        </w:tc>
        <w:tc>
          <w:tcPr>
            <w:tcW w:w="1503" w:type="dxa"/>
            <w:noWrap/>
          </w:tcPr>
          <w:p w14:paraId="695ED517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BUY 20 </w:t>
            </w:r>
            <w:proofErr w:type="spellStart"/>
            <w:r w:rsidRPr="00AC5086">
              <w:rPr>
                <w:rFonts w:cstheme="minorHAnsi"/>
                <w:b/>
                <w:bCs/>
                <w:u w:val="single"/>
              </w:rPr>
              <w:t>sh</w:t>
            </w:r>
            <w:proofErr w:type="spellEnd"/>
          </w:p>
        </w:tc>
        <w:tc>
          <w:tcPr>
            <w:tcW w:w="1503" w:type="dxa"/>
            <w:noWrap/>
          </w:tcPr>
          <w:p w14:paraId="7621BCA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074E4E3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105</w:t>
            </w:r>
          </w:p>
        </w:tc>
        <w:tc>
          <w:tcPr>
            <w:tcW w:w="1021" w:type="dxa"/>
          </w:tcPr>
          <w:p w14:paraId="621AA89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3.2</w:t>
            </w:r>
          </w:p>
        </w:tc>
        <w:tc>
          <w:tcPr>
            <w:tcW w:w="1180" w:type="dxa"/>
            <w:noWrap/>
          </w:tcPr>
          <w:p w14:paraId="33C3375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179F7758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21FFDB0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Cognizant</w:t>
            </w:r>
          </w:p>
        </w:tc>
        <w:tc>
          <w:tcPr>
            <w:tcW w:w="1180" w:type="dxa"/>
            <w:noWrap/>
            <w:hideMark/>
          </w:tcPr>
          <w:p w14:paraId="6F8231F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CTSH</w:t>
            </w:r>
          </w:p>
        </w:tc>
        <w:tc>
          <w:tcPr>
            <w:tcW w:w="1370" w:type="dxa"/>
            <w:noWrap/>
            <w:hideMark/>
          </w:tcPr>
          <w:p w14:paraId="70C2F6A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Michele</w:t>
            </w:r>
          </w:p>
        </w:tc>
        <w:tc>
          <w:tcPr>
            <w:tcW w:w="1503" w:type="dxa"/>
            <w:noWrap/>
          </w:tcPr>
          <w:p w14:paraId="027DCB6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2EEFDFD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436B1D4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200</w:t>
            </w:r>
          </w:p>
        </w:tc>
        <w:tc>
          <w:tcPr>
            <w:tcW w:w="1021" w:type="dxa"/>
          </w:tcPr>
          <w:p w14:paraId="7F4E823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9.6</w:t>
            </w:r>
          </w:p>
        </w:tc>
        <w:tc>
          <w:tcPr>
            <w:tcW w:w="1180" w:type="dxa"/>
            <w:noWrap/>
            <w:hideMark/>
          </w:tcPr>
          <w:p w14:paraId="01E70B0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25F0D306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5BB2365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14:paraId="5EDBDAD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CVS</w:t>
            </w:r>
          </w:p>
        </w:tc>
        <w:tc>
          <w:tcPr>
            <w:tcW w:w="1370" w:type="dxa"/>
            <w:noWrap/>
            <w:hideMark/>
          </w:tcPr>
          <w:p w14:paraId="336709CD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Dene</w:t>
            </w:r>
          </w:p>
        </w:tc>
        <w:tc>
          <w:tcPr>
            <w:tcW w:w="1503" w:type="dxa"/>
            <w:noWrap/>
          </w:tcPr>
          <w:p w14:paraId="12EFD0F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BUY 10 </w:t>
            </w:r>
            <w:proofErr w:type="spellStart"/>
            <w:r w:rsidRPr="00AC5086">
              <w:rPr>
                <w:rFonts w:cstheme="minorHAnsi"/>
                <w:b/>
                <w:bCs/>
                <w:u w:val="single"/>
              </w:rPr>
              <w:t>sh</w:t>
            </w:r>
            <w:proofErr w:type="spellEnd"/>
          </w:p>
        </w:tc>
        <w:tc>
          <w:tcPr>
            <w:tcW w:w="1503" w:type="dxa"/>
            <w:noWrap/>
          </w:tcPr>
          <w:p w14:paraId="152F94BB" w14:textId="10C62E62" w:rsidR="00AC5086" w:rsidRPr="00AC5086" w:rsidRDefault="004859CD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  <w:noWrap/>
          </w:tcPr>
          <w:p w14:paraId="5D6981F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155</w:t>
            </w:r>
          </w:p>
        </w:tc>
        <w:tc>
          <w:tcPr>
            <w:tcW w:w="1021" w:type="dxa"/>
          </w:tcPr>
          <w:p w14:paraId="33AC4EE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6.6</w:t>
            </w:r>
          </w:p>
        </w:tc>
        <w:tc>
          <w:tcPr>
            <w:tcW w:w="1180" w:type="dxa"/>
            <w:noWrap/>
            <w:hideMark/>
          </w:tcPr>
          <w:p w14:paraId="745CC4A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090C50C3" w14:textId="77777777" w:rsidTr="0073314E">
        <w:trPr>
          <w:trHeight w:val="260"/>
        </w:trPr>
        <w:tc>
          <w:tcPr>
            <w:tcW w:w="2330" w:type="dxa"/>
            <w:noWrap/>
            <w:hideMark/>
          </w:tcPr>
          <w:p w14:paraId="22DC420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76DCFC5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16CACAD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Harrison</w:t>
            </w:r>
          </w:p>
        </w:tc>
        <w:tc>
          <w:tcPr>
            <w:tcW w:w="1503" w:type="dxa"/>
            <w:noWrap/>
          </w:tcPr>
          <w:p w14:paraId="7CD3629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547AB45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  <w:noWrap/>
          </w:tcPr>
          <w:p w14:paraId="02664EE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110</w:t>
            </w:r>
          </w:p>
        </w:tc>
        <w:tc>
          <w:tcPr>
            <w:tcW w:w="1021" w:type="dxa"/>
          </w:tcPr>
          <w:p w14:paraId="29ED6B6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7.9</w:t>
            </w:r>
          </w:p>
        </w:tc>
        <w:tc>
          <w:tcPr>
            <w:tcW w:w="1180" w:type="dxa"/>
            <w:noWrap/>
            <w:hideMark/>
          </w:tcPr>
          <w:p w14:paraId="143D26F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579D24A8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3882EE7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1202B907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0D80EFB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Rich</w:t>
            </w:r>
          </w:p>
        </w:tc>
        <w:tc>
          <w:tcPr>
            <w:tcW w:w="1503" w:type="dxa"/>
            <w:noWrap/>
          </w:tcPr>
          <w:p w14:paraId="26787BA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772D408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  <w:noWrap/>
          </w:tcPr>
          <w:p w14:paraId="1E12AE4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200</w:t>
            </w:r>
          </w:p>
        </w:tc>
        <w:tc>
          <w:tcPr>
            <w:tcW w:w="1021" w:type="dxa"/>
          </w:tcPr>
          <w:p w14:paraId="4DB59FA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8.0</w:t>
            </w:r>
          </w:p>
        </w:tc>
        <w:tc>
          <w:tcPr>
            <w:tcW w:w="1180" w:type="dxa"/>
            <w:noWrap/>
            <w:hideMark/>
          </w:tcPr>
          <w:p w14:paraId="4BBAC82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00426592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42942C7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14:paraId="497B304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LKQ</w:t>
            </w:r>
          </w:p>
        </w:tc>
        <w:tc>
          <w:tcPr>
            <w:tcW w:w="1370" w:type="dxa"/>
            <w:noWrap/>
            <w:hideMark/>
          </w:tcPr>
          <w:p w14:paraId="15F87D4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Frank</w:t>
            </w:r>
          </w:p>
        </w:tc>
        <w:tc>
          <w:tcPr>
            <w:tcW w:w="1503" w:type="dxa"/>
            <w:noWrap/>
          </w:tcPr>
          <w:p w14:paraId="78EA999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5B13AB7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1CA6049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400</w:t>
            </w:r>
          </w:p>
        </w:tc>
        <w:tc>
          <w:tcPr>
            <w:tcW w:w="1021" w:type="dxa"/>
          </w:tcPr>
          <w:p w14:paraId="280BFC1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6.9</w:t>
            </w:r>
          </w:p>
        </w:tc>
        <w:tc>
          <w:tcPr>
            <w:tcW w:w="1180" w:type="dxa"/>
            <w:noWrap/>
            <w:hideMark/>
          </w:tcPr>
          <w:p w14:paraId="6ED1C36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6C0156BD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0E3F3E0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14:paraId="2B3B379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SLB</w:t>
            </w:r>
          </w:p>
        </w:tc>
        <w:tc>
          <w:tcPr>
            <w:tcW w:w="1370" w:type="dxa"/>
            <w:noWrap/>
            <w:hideMark/>
          </w:tcPr>
          <w:p w14:paraId="19CF46D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Mary</w:t>
            </w:r>
          </w:p>
        </w:tc>
        <w:tc>
          <w:tcPr>
            <w:tcW w:w="1503" w:type="dxa"/>
            <w:noWrap/>
          </w:tcPr>
          <w:p w14:paraId="3FDC921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0BDE931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74BCCAE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140</w:t>
            </w:r>
          </w:p>
        </w:tc>
        <w:tc>
          <w:tcPr>
            <w:tcW w:w="1021" w:type="dxa"/>
          </w:tcPr>
          <w:p w14:paraId="09C167C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3.9</w:t>
            </w:r>
          </w:p>
        </w:tc>
        <w:tc>
          <w:tcPr>
            <w:tcW w:w="1180" w:type="dxa"/>
            <w:noWrap/>
            <w:hideMark/>
          </w:tcPr>
          <w:p w14:paraId="5BB5E43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6560A18C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0A69906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0ED600D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42E9D7E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Craig</w:t>
            </w:r>
          </w:p>
        </w:tc>
        <w:tc>
          <w:tcPr>
            <w:tcW w:w="1503" w:type="dxa"/>
            <w:noWrap/>
          </w:tcPr>
          <w:p w14:paraId="200D409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3773C21D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BUY</w:t>
            </w:r>
          </w:p>
        </w:tc>
        <w:tc>
          <w:tcPr>
            <w:tcW w:w="900" w:type="dxa"/>
            <w:noWrap/>
          </w:tcPr>
          <w:p w14:paraId="6EEAA38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110</w:t>
            </w:r>
          </w:p>
        </w:tc>
        <w:tc>
          <w:tcPr>
            <w:tcW w:w="1021" w:type="dxa"/>
          </w:tcPr>
          <w:p w14:paraId="3A907FCF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9.6</w:t>
            </w:r>
          </w:p>
        </w:tc>
        <w:tc>
          <w:tcPr>
            <w:tcW w:w="1180" w:type="dxa"/>
            <w:noWrap/>
            <w:hideMark/>
          </w:tcPr>
          <w:p w14:paraId="5483F52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6769809E" w14:textId="77777777" w:rsidTr="0073314E">
        <w:trPr>
          <w:trHeight w:val="261"/>
        </w:trPr>
        <w:tc>
          <w:tcPr>
            <w:tcW w:w="2330" w:type="dxa"/>
            <w:noWrap/>
            <w:hideMark/>
          </w:tcPr>
          <w:p w14:paraId="4722638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Starbucks</w:t>
            </w:r>
          </w:p>
        </w:tc>
        <w:tc>
          <w:tcPr>
            <w:tcW w:w="1180" w:type="dxa"/>
            <w:noWrap/>
            <w:hideMark/>
          </w:tcPr>
          <w:p w14:paraId="0D5132E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SBUX</w:t>
            </w:r>
          </w:p>
        </w:tc>
        <w:tc>
          <w:tcPr>
            <w:tcW w:w="1370" w:type="dxa"/>
            <w:noWrap/>
            <w:hideMark/>
          </w:tcPr>
          <w:p w14:paraId="7F1B4B6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Gerry</w:t>
            </w:r>
          </w:p>
        </w:tc>
        <w:tc>
          <w:tcPr>
            <w:tcW w:w="1503" w:type="dxa"/>
            <w:noWrap/>
          </w:tcPr>
          <w:p w14:paraId="55283C5B" w14:textId="13B9B088" w:rsidR="00AC5086" w:rsidRPr="00AC5086" w:rsidRDefault="006840A1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  <w:noWrap/>
          </w:tcPr>
          <w:p w14:paraId="03A040CF" w14:textId="55B60927" w:rsidR="00AC5086" w:rsidRPr="00AC5086" w:rsidRDefault="006840A1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  <w:noWrap/>
          </w:tcPr>
          <w:p w14:paraId="35E2FF3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160</w:t>
            </w:r>
          </w:p>
        </w:tc>
        <w:tc>
          <w:tcPr>
            <w:tcW w:w="1021" w:type="dxa"/>
          </w:tcPr>
          <w:p w14:paraId="6064EB4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7.3</w:t>
            </w:r>
          </w:p>
        </w:tc>
        <w:tc>
          <w:tcPr>
            <w:tcW w:w="1180" w:type="dxa"/>
            <w:noWrap/>
            <w:hideMark/>
          </w:tcPr>
          <w:p w14:paraId="1AA2823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Sep</w:t>
            </w:r>
          </w:p>
        </w:tc>
      </w:tr>
      <w:tr w:rsidR="00AC5086" w:rsidRPr="00AC5086" w14:paraId="5F67612A" w14:textId="77777777" w:rsidTr="0073314E">
        <w:trPr>
          <w:trHeight w:val="261"/>
        </w:trPr>
        <w:tc>
          <w:tcPr>
            <w:tcW w:w="2330" w:type="dxa"/>
            <w:noWrap/>
          </w:tcPr>
          <w:p w14:paraId="5578200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Tractor Supply</w:t>
            </w:r>
          </w:p>
        </w:tc>
        <w:tc>
          <w:tcPr>
            <w:tcW w:w="1180" w:type="dxa"/>
            <w:noWrap/>
          </w:tcPr>
          <w:p w14:paraId="7C71F60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TSCO</w:t>
            </w:r>
          </w:p>
        </w:tc>
        <w:tc>
          <w:tcPr>
            <w:tcW w:w="1370" w:type="dxa"/>
            <w:noWrap/>
          </w:tcPr>
          <w:p w14:paraId="3AF82E9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Greg</w:t>
            </w:r>
          </w:p>
        </w:tc>
        <w:tc>
          <w:tcPr>
            <w:tcW w:w="1503" w:type="dxa"/>
          </w:tcPr>
          <w:p w14:paraId="5E1FBAE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</w:tcPr>
          <w:p w14:paraId="025239A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</w:tcPr>
          <w:p w14:paraId="2779F68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145</w:t>
            </w:r>
          </w:p>
        </w:tc>
        <w:tc>
          <w:tcPr>
            <w:tcW w:w="1021" w:type="dxa"/>
            <w:noWrap/>
          </w:tcPr>
          <w:p w14:paraId="0CF2C05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8.8</w:t>
            </w:r>
          </w:p>
        </w:tc>
        <w:tc>
          <w:tcPr>
            <w:tcW w:w="1180" w:type="dxa"/>
            <w:noWrap/>
          </w:tcPr>
          <w:p w14:paraId="57C944F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Dec</w:t>
            </w:r>
          </w:p>
        </w:tc>
      </w:tr>
      <w:tr w:rsidR="00AC5086" w:rsidRPr="00AC5086" w14:paraId="363F1DDA" w14:textId="77777777" w:rsidTr="0073314E">
        <w:trPr>
          <w:trHeight w:val="261"/>
        </w:trPr>
        <w:tc>
          <w:tcPr>
            <w:tcW w:w="2330" w:type="dxa"/>
            <w:noWrap/>
          </w:tcPr>
          <w:p w14:paraId="1C07734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AC5086">
              <w:rPr>
                <w:rFonts w:cstheme="minorHAnsi"/>
                <w:b/>
                <w:bCs/>
                <w:u w:val="single"/>
              </w:rPr>
              <w:t>Ulta</w:t>
            </w:r>
            <w:proofErr w:type="spellEnd"/>
            <w:r w:rsidRPr="00AC5086">
              <w:rPr>
                <w:rFonts w:cstheme="minorHAnsi"/>
                <w:b/>
                <w:bCs/>
                <w:u w:val="single"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64DD6D2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ULTA</w:t>
            </w:r>
          </w:p>
        </w:tc>
        <w:tc>
          <w:tcPr>
            <w:tcW w:w="1370" w:type="dxa"/>
            <w:noWrap/>
          </w:tcPr>
          <w:p w14:paraId="1DB0C07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Kate</w:t>
            </w:r>
          </w:p>
        </w:tc>
        <w:tc>
          <w:tcPr>
            <w:tcW w:w="1503" w:type="dxa"/>
          </w:tcPr>
          <w:p w14:paraId="20D46C8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1503" w:type="dxa"/>
          </w:tcPr>
          <w:p w14:paraId="10541B9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HOLD</w:t>
            </w:r>
          </w:p>
        </w:tc>
        <w:tc>
          <w:tcPr>
            <w:tcW w:w="900" w:type="dxa"/>
          </w:tcPr>
          <w:p w14:paraId="05B3FBB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15</w:t>
            </w:r>
          </w:p>
        </w:tc>
        <w:tc>
          <w:tcPr>
            <w:tcW w:w="1021" w:type="dxa"/>
            <w:noWrap/>
          </w:tcPr>
          <w:p w14:paraId="64CCD00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2.9</w:t>
            </w:r>
          </w:p>
        </w:tc>
        <w:tc>
          <w:tcPr>
            <w:tcW w:w="1180" w:type="dxa"/>
            <w:noWrap/>
          </w:tcPr>
          <w:p w14:paraId="20569FD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Jan</w:t>
            </w:r>
          </w:p>
        </w:tc>
      </w:tr>
      <w:tr w:rsidR="00AC5086" w:rsidRPr="00AC5086" w14:paraId="018A296B" w14:textId="77777777" w:rsidTr="0073314E">
        <w:trPr>
          <w:trHeight w:val="261"/>
        </w:trPr>
        <w:tc>
          <w:tcPr>
            <w:tcW w:w="2330" w:type="dxa"/>
            <w:noWrap/>
          </w:tcPr>
          <w:p w14:paraId="2E68FBC1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Vanguard Healthcare ETF</w:t>
            </w:r>
          </w:p>
        </w:tc>
        <w:tc>
          <w:tcPr>
            <w:tcW w:w="1180" w:type="dxa"/>
            <w:noWrap/>
          </w:tcPr>
          <w:p w14:paraId="0C8EE08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VHT</w:t>
            </w:r>
          </w:p>
        </w:tc>
        <w:tc>
          <w:tcPr>
            <w:tcW w:w="1370" w:type="dxa"/>
            <w:noWrap/>
          </w:tcPr>
          <w:p w14:paraId="6047499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--- (Jackie)</w:t>
            </w:r>
          </w:p>
        </w:tc>
        <w:tc>
          <w:tcPr>
            <w:tcW w:w="1503" w:type="dxa"/>
          </w:tcPr>
          <w:p w14:paraId="29E0184D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 xml:space="preserve">BUY 10 </w:t>
            </w:r>
            <w:proofErr w:type="spellStart"/>
            <w:r w:rsidRPr="00AC5086">
              <w:rPr>
                <w:rFonts w:cstheme="minorHAnsi"/>
                <w:b/>
                <w:bCs/>
                <w:u w:val="single"/>
              </w:rPr>
              <w:t>sh</w:t>
            </w:r>
            <w:proofErr w:type="spellEnd"/>
          </w:p>
        </w:tc>
        <w:tc>
          <w:tcPr>
            <w:tcW w:w="1503" w:type="dxa"/>
          </w:tcPr>
          <w:p w14:paraId="15111D0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92CA2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10</w:t>
            </w:r>
          </w:p>
        </w:tc>
        <w:tc>
          <w:tcPr>
            <w:tcW w:w="1021" w:type="dxa"/>
            <w:noWrap/>
          </w:tcPr>
          <w:p w14:paraId="3662917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1.1</w:t>
            </w:r>
          </w:p>
        </w:tc>
        <w:tc>
          <w:tcPr>
            <w:tcW w:w="1180" w:type="dxa"/>
            <w:noWrap/>
          </w:tcPr>
          <w:p w14:paraId="7E7249E7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---</w:t>
            </w:r>
          </w:p>
        </w:tc>
      </w:tr>
      <w:tr w:rsidR="00AC5086" w:rsidRPr="00AC5086" w14:paraId="0576A1E8" w14:textId="77777777" w:rsidTr="0073314E">
        <w:trPr>
          <w:trHeight w:val="170"/>
        </w:trPr>
        <w:tc>
          <w:tcPr>
            <w:tcW w:w="10987" w:type="dxa"/>
            <w:gridSpan w:val="8"/>
            <w:noWrap/>
          </w:tcPr>
          <w:p w14:paraId="2C63A326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Pounce/Watch List</w:t>
            </w:r>
          </w:p>
        </w:tc>
      </w:tr>
      <w:tr w:rsidR="00AC5086" w:rsidRPr="00AC5086" w14:paraId="1D2EC511" w14:textId="77777777" w:rsidTr="0073314E">
        <w:tc>
          <w:tcPr>
            <w:tcW w:w="2330" w:type="dxa"/>
          </w:tcPr>
          <w:p w14:paraId="332DE9A2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Stock</w:t>
            </w:r>
          </w:p>
        </w:tc>
        <w:tc>
          <w:tcPr>
            <w:tcW w:w="1180" w:type="dxa"/>
          </w:tcPr>
          <w:p w14:paraId="0368AB5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Symbol</w:t>
            </w:r>
          </w:p>
        </w:tc>
        <w:tc>
          <w:tcPr>
            <w:tcW w:w="1370" w:type="dxa"/>
          </w:tcPr>
          <w:p w14:paraId="6182866E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Watcher</w:t>
            </w:r>
          </w:p>
        </w:tc>
        <w:tc>
          <w:tcPr>
            <w:tcW w:w="1503" w:type="dxa"/>
          </w:tcPr>
          <w:p w14:paraId="676C0D47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Presented</w:t>
            </w:r>
          </w:p>
        </w:tc>
        <w:tc>
          <w:tcPr>
            <w:tcW w:w="4604" w:type="dxa"/>
            <w:gridSpan w:val="4"/>
          </w:tcPr>
          <w:p w14:paraId="374640C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Recommendation/Remarks</w:t>
            </w:r>
          </w:p>
        </w:tc>
      </w:tr>
      <w:tr w:rsidR="00AC5086" w:rsidRPr="00AC5086" w14:paraId="65D2D750" w14:textId="77777777" w:rsidTr="0073314E">
        <w:tc>
          <w:tcPr>
            <w:tcW w:w="2330" w:type="dxa"/>
          </w:tcPr>
          <w:p w14:paraId="264AE350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AC5086">
              <w:rPr>
                <w:rFonts w:cstheme="minorHAnsi"/>
                <w:b/>
                <w:bCs/>
                <w:u w:val="single"/>
              </w:rPr>
              <w:lastRenderedPageBreak/>
              <w:t>Fleetcor</w:t>
            </w:r>
            <w:proofErr w:type="spellEnd"/>
            <w:r w:rsidRPr="00AC5086">
              <w:rPr>
                <w:rFonts w:cstheme="minorHAnsi"/>
                <w:b/>
                <w:bCs/>
                <w:u w:val="single"/>
              </w:rPr>
              <w:t xml:space="preserve"> Technologies</w:t>
            </w:r>
          </w:p>
        </w:tc>
        <w:tc>
          <w:tcPr>
            <w:tcW w:w="1180" w:type="dxa"/>
          </w:tcPr>
          <w:p w14:paraId="21FF2824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FLT</w:t>
            </w:r>
          </w:p>
        </w:tc>
        <w:tc>
          <w:tcPr>
            <w:tcW w:w="1370" w:type="dxa"/>
          </w:tcPr>
          <w:p w14:paraId="54B3A9C5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Phillip</w:t>
            </w:r>
          </w:p>
        </w:tc>
        <w:tc>
          <w:tcPr>
            <w:tcW w:w="1503" w:type="dxa"/>
          </w:tcPr>
          <w:p w14:paraId="0B84C95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May, 2018</w:t>
            </w:r>
          </w:p>
        </w:tc>
        <w:tc>
          <w:tcPr>
            <w:tcW w:w="4604" w:type="dxa"/>
            <w:gridSpan w:val="4"/>
          </w:tcPr>
          <w:p w14:paraId="002D52EC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AC5086">
              <w:rPr>
                <w:rFonts w:cstheme="minorHAnsi"/>
                <w:b/>
                <w:bCs/>
                <w:u w:val="single"/>
              </w:rPr>
              <w:t>SSG has FLT out of the buy range</w:t>
            </w:r>
          </w:p>
        </w:tc>
      </w:tr>
      <w:tr w:rsidR="00AC5086" w:rsidRPr="00AC5086" w14:paraId="52FECF55" w14:textId="77777777" w:rsidTr="0073314E">
        <w:tc>
          <w:tcPr>
            <w:tcW w:w="2330" w:type="dxa"/>
          </w:tcPr>
          <w:p w14:paraId="649AFF03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80" w:type="dxa"/>
          </w:tcPr>
          <w:p w14:paraId="29361459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370" w:type="dxa"/>
          </w:tcPr>
          <w:p w14:paraId="1AB75048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503" w:type="dxa"/>
          </w:tcPr>
          <w:p w14:paraId="058FAB9B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604" w:type="dxa"/>
            <w:gridSpan w:val="4"/>
          </w:tcPr>
          <w:p w14:paraId="73B71DCA" w14:textId="77777777" w:rsidR="00AC5086" w:rsidRPr="00AC5086" w:rsidRDefault="00AC5086" w:rsidP="00AC5086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5F9180F6" w14:textId="77777777" w:rsidR="0000680E" w:rsidRDefault="0000680E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6C0D3B1A" w14:textId="77777777" w:rsidR="0000680E" w:rsidRDefault="0000680E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72EB267D" w14:textId="77777777" w:rsidR="00210734" w:rsidRPr="00461101" w:rsidRDefault="00CB59E4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B</w:t>
      </w:r>
      <w:r w:rsidR="007361A8" w:rsidRPr="00461101">
        <w:rPr>
          <w:rFonts w:cstheme="minorHAnsi"/>
          <w:b/>
          <w:bCs/>
          <w:u w:val="single"/>
          <w:lang w:val="en"/>
        </w:rPr>
        <w:t>uy/Sell Decisions:</w:t>
      </w:r>
      <w:r w:rsidR="007361A8" w:rsidRPr="00461101">
        <w:rPr>
          <w:rFonts w:cstheme="minorHAnsi"/>
          <w:b/>
          <w:bCs/>
          <w:lang w:val="en"/>
        </w:rPr>
        <w:t xml:space="preserve"> </w:t>
      </w:r>
      <w:r w:rsidR="007361A8" w:rsidRPr="00461101">
        <w:rPr>
          <w:rFonts w:cstheme="minorHAnsi"/>
          <w:bCs/>
          <w:lang w:val="en"/>
        </w:rPr>
        <w:t>(motion/second: action, type, yes/no/abstain)</w:t>
      </w:r>
    </w:p>
    <w:p w14:paraId="02C561FC" w14:textId="7D753B2A" w:rsidR="004A0A7E" w:rsidRPr="00403455" w:rsidRDefault="00403455" w:rsidP="00AC5086">
      <w:pPr>
        <w:pStyle w:val="ListParagraph"/>
        <w:numPr>
          <w:ilvl w:val="0"/>
          <w:numId w:val="24"/>
        </w:numPr>
        <w:spacing w:after="0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</w:rPr>
        <w:t>Jackie/Kate, BUY 10 VHT</w:t>
      </w:r>
      <w:proofErr w:type="gramStart"/>
      <w:r>
        <w:rPr>
          <w:rFonts w:eastAsia="Times New Roman" w:cstheme="minorHAnsi"/>
        </w:rPr>
        <w:t xml:space="preserve">, </w:t>
      </w:r>
      <w:r w:rsidR="00FA2EF2">
        <w:rPr>
          <w:rFonts w:eastAsia="Times New Roman" w:cstheme="minorHAnsi"/>
        </w:rPr>
        <w:t xml:space="preserve">  </w:t>
      </w:r>
      <w:r w:rsidR="00684BF3">
        <w:rPr>
          <w:rFonts w:eastAsia="Times New Roman" w:cstheme="minorHAnsi"/>
        </w:rPr>
        <w:t>7</w:t>
      </w:r>
      <w:proofErr w:type="gramEnd"/>
      <w:r w:rsidR="00684BF3">
        <w:rPr>
          <w:rFonts w:eastAsia="Times New Roman" w:cstheme="minorHAnsi"/>
        </w:rPr>
        <w:t>+7/2/0</w:t>
      </w:r>
    </w:p>
    <w:p w14:paraId="51507972" w14:textId="5E2571E9" w:rsidR="00403455" w:rsidRPr="00FA2EF2" w:rsidRDefault="00FA2EF2" w:rsidP="00AC5086">
      <w:pPr>
        <w:pStyle w:val="ListParagraph"/>
        <w:numPr>
          <w:ilvl w:val="0"/>
          <w:numId w:val="24"/>
        </w:numPr>
        <w:spacing w:after="0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</w:rPr>
        <w:t xml:space="preserve">Mary/Craig, BUY </w:t>
      </w:r>
      <w:r w:rsidR="00403455">
        <w:rPr>
          <w:rFonts w:eastAsia="Times New Roman" w:cstheme="minorHAnsi"/>
        </w:rPr>
        <w:t xml:space="preserve">20 CBRE, </w:t>
      </w:r>
      <w:r w:rsidR="00684BF3">
        <w:rPr>
          <w:rFonts w:eastAsia="Times New Roman" w:cstheme="minorHAnsi"/>
        </w:rPr>
        <w:t>9+4/3/0</w:t>
      </w:r>
    </w:p>
    <w:p w14:paraId="2EDE0D2D" w14:textId="4E4DBBF0" w:rsidR="00FA2EF2" w:rsidRPr="00AC5086" w:rsidRDefault="00FA2EF2" w:rsidP="00AC5086">
      <w:pPr>
        <w:pStyle w:val="ListParagraph"/>
        <w:numPr>
          <w:ilvl w:val="0"/>
          <w:numId w:val="24"/>
        </w:numPr>
        <w:spacing w:after="0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</w:rPr>
        <w:t xml:space="preserve">Marty/Jackie, LIMIT  @ $170, </w:t>
      </w:r>
      <w:proofErr w:type="gramStart"/>
      <w:r>
        <w:rPr>
          <w:rFonts w:eastAsia="Times New Roman" w:cstheme="minorHAnsi"/>
        </w:rPr>
        <w:t xml:space="preserve">LCRX </w:t>
      </w:r>
      <w:r w:rsidR="00684BF3">
        <w:rPr>
          <w:rFonts w:eastAsia="Times New Roman" w:cstheme="minorHAnsi"/>
        </w:rPr>
        <w:t xml:space="preserve"> 7</w:t>
      </w:r>
      <w:proofErr w:type="gramEnd"/>
      <w:r w:rsidR="00684BF3">
        <w:rPr>
          <w:rFonts w:eastAsia="Times New Roman" w:cstheme="minorHAnsi"/>
        </w:rPr>
        <w:t>+7/2/0</w:t>
      </w:r>
    </w:p>
    <w:p w14:paraId="2F7070CA" w14:textId="77777777" w:rsidR="00AC5086" w:rsidRDefault="00AC5086" w:rsidP="00461101">
      <w:pPr>
        <w:spacing w:after="0"/>
        <w:rPr>
          <w:rFonts w:eastAsia="Times New Roman" w:cstheme="minorHAnsi"/>
          <w:b/>
          <w:u w:val="single"/>
        </w:rPr>
      </w:pPr>
    </w:p>
    <w:p w14:paraId="28EBBCF8" w14:textId="77777777" w:rsidR="00AC5086" w:rsidRPr="00444E37" w:rsidRDefault="00740779" w:rsidP="00AC5086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461101">
        <w:rPr>
          <w:rFonts w:eastAsia="Times New Roman" w:cstheme="minorHAnsi"/>
          <w:b/>
          <w:u w:val="single"/>
        </w:rPr>
        <w:t>Future meetings:</w:t>
      </w:r>
      <w:r w:rsidRPr="00461101">
        <w:rPr>
          <w:rFonts w:eastAsia="Times New Roman" w:cstheme="minorHAnsi"/>
          <w:b/>
        </w:rPr>
        <w:t xml:space="preserve"> </w:t>
      </w:r>
      <w:r w:rsidR="00AC5086">
        <w:rPr>
          <w:rFonts w:eastAsia="Times New Roman" w:cstheme="minorHAnsi"/>
          <w:b/>
        </w:rPr>
        <w:t xml:space="preserve"> </w:t>
      </w:r>
      <w:r w:rsidR="00AC5086" w:rsidRPr="00444E37">
        <w:rPr>
          <w:rFonts w:eastAsia="Times New Roman"/>
          <w:b/>
          <w:sz w:val="18"/>
          <w:szCs w:val="18"/>
        </w:rPr>
        <w:t>Future meetings</w:t>
      </w:r>
      <w:proofErr w:type="gramStart"/>
      <w:r w:rsidR="00AC5086" w:rsidRPr="00444E37">
        <w:rPr>
          <w:rFonts w:eastAsia="Times New Roman"/>
          <w:b/>
          <w:sz w:val="18"/>
          <w:szCs w:val="18"/>
        </w:rPr>
        <w:t>:    Mid</w:t>
      </w:r>
      <w:proofErr w:type="gramEnd"/>
      <w:r w:rsidR="00AC5086" w:rsidRPr="00444E37">
        <w:rPr>
          <w:rFonts w:eastAsia="Times New Roman"/>
          <w:b/>
          <w:sz w:val="18"/>
          <w:szCs w:val="18"/>
        </w:rPr>
        <w:t xml:space="preserve">-Month Portfolio/Stock Committee: </w:t>
      </w:r>
      <w:r w:rsidR="00AC5086">
        <w:rPr>
          <w:rFonts w:eastAsia="Times New Roman"/>
          <w:b/>
          <w:sz w:val="18"/>
          <w:szCs w:val="18"/>
        </w:rPr>
        <w:t>Mar 2</w:t>
      </w:r>
      <w:r w:rsidR="00AC5086" w:rsidRPr="00444E37">
        <w:rPr>
          <w:rFonts w:eastAsia="Times New Roman"/>
          <w:b/>
          <w:sz w:val="18"/>
          <w:szCs w:val="18"/>
        </w:rPr>
        <w:t>, webinar; Regular meeting:</w:t>
      </w:r>
      <w:r w:rsidR="00AC5086">
        <w:rPr>
          <w:rFonts w:eastAsia="Times New Roman"/>
          <w:b/>
          <w:sz w:val="18"/>
          <w:szCs w:val="18"/>
        </w:rPr>
        <w:t xml:space="preserve"> Mar 16, Library, Room C</w:t>
      </w:r>
    </w:p>
    <w:p w14:paraId="76BD4FB4" w14:textId="77777777" w:rsidR="00AC5086" w:rsidRPr="00F86CF9" w:rsidRDefault="00AC5086" w:rsidP="00AC5086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Stock Study: Frank - TBD</w:t>
      </w:r>
      <w:r w:rsidRPr="00F86CF9">
        <w:rPr>
          <w:rFonts w:eastAsia="Times New Roman"/>
          <w:b/>
          <w:sz w:val="18"/>
          <w:szCs w:val="18"/>
        </w:rPr>
        <w:t xml:space="preserve">; </w:t>
      </w:r>
      <w:r>
        <w:rPr>
          <w:rFonts w:eastAsia="Times New Roman"/>
          <w:b/>
          <w:sz w:val="18"/>
          <w:szCs w:val="18"/>
        </w:rPr>
        <w:t>Education: Harrison</w:t>
      </w:r>
      <w:r w:rsidRPr="00F86CF9">
        <w:rPr>
          <w:rFonts w:eastAsia="Times New Roman"/>
          <w:b/>
          <w:sz w:val="18"/>
          <w:szCs w:val="18"/>
        </w:rPr>
        <w:t xml:space="preserve"> –</w:t>
      </w:r>
      <w:r>
        <w:rPr>
          <w:rFonts w:eastAsia="Times New Roman"/>
          <w:b/>
          <w:sz w:val="18"/>
          <w:szCs w:val="18"/>
        </w:rPr>
        <w:t xml:space="preserve"> TBD</w:t>
      </w:r>
      <w:r w:rsidRPr="00F86CF9">
        <w:rPr>
          <w:rFonts w:eastAsia="Times New Roman"/>
          <w:b/>
          <w:sz w:val="18"/>
          <w:szCs w:val="18"/>
        </w:rPr>
        <w:t>; new members may alter this schedule</w:t>
      </w:r>
    </w:p>
    <w:p w14:paraId="694CB8E4" w14:textId="12C19E8A" w:rsidR="00740779" w:rsidRPr="00461101" w:rsidRDefault="00740779" w:rsidP="00461101">
      <w:pPr>
        <w:spacing w:after="0"/>
        <w:rPr>
          <w:rFonts w:eastAsia="Times New Roman" w:cstheme="minorHAnsi"/>
          <w:b/>
        </w:rPr>
      </w:pPr>
    </w:p>
    <w:p w14:paraId="3F5DF373" w14:textId="77777777" w:rsidR="005477CB" w:rsidRPr="00461101" w:rsidRDefault="005477CB">
      <w:pPr>
        <w:pStyle w:val="ListParagraph"/>
        <w:widowControl w:val="0"/>
        <w:spacing w:after="0" w:line="240" w:lineRule="auto"/>
        <w:rPr>
          <w:rFonts w:cstheme="minorHAnsi"/>
          <w:bCs/>
          <w:lang w:val="en"/>
        </w:rPr>
      </w:pPr>
    </w:p>
    <w:p w14:paraId="12514D7C" w14:textId="77777777" w:rsidR="00210734" w:rsidRDefault="007361A8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Education and Stock Presentation Sche</w:t>
      </w:r>
      <w:r w:rsidR="00AA52AA" w:rsidRPr="00461101">
        <w:rPr>
          <w:rFonts w:cstheme="minorHAnsi"/>
          <w:b/>
          <w:bCs/>
          <w:u w:val="single"/>
          <w:lang w:val="en"/>
        </w:rPr>
        <w:t xml:space="preserve">dule for 2018/2019: </w:t>
      </w:r>
      <w:r w:rsidR="00AA52AA" w:rsidRPr="00461101">
        <w:rPr>
          <w:rFonts w:cstheme="minorHAnsi"/>
          <w:bCs/>
          <w:lang w:val="en"/>
        </w:rPr>
        <w:t>Revised to reflect changes:</w:t>
      </w:r>
    </w:p>
    <w:p w14:paraId="25CF9D7E" w14:textId="77777777" w:rsidR="00AC5086" w:rsidRDefault="00AC5086">
      <w:pPr>
        <w:widowControl w:val="0"/>
        <w:spacing w:after="0" w:line="240" w:lineRule="auto"/>
        <w:rPr>
          <w:rFonts w:cstheme="minorHAnsi"/>
          <w:bCs/>
          <w:lang w:val="en"/>
        </w:rPr>
      </w:pPr>
    </w:p>
    <w:p w14:paraId="4615B41A" w14:textId="77777777" w:rsidR="00AC5086" w:rsidRPr="00FC69D5" w:rsidRDefault="00AC5086" w:rsidP="00AC5086">
      <w:pPr>
        <w:rPr>
          <w:rFonts w:eastAsia="Times New Roman"/>
          <w:sz w:val="20"/>
          <w:szCs w:val="20"/>
        </w:rPr>
      </w:pPr>
      <w:r w:rsidRPr="00FC69D5">
        <w:rPr>
          <w:rFonts w:eastAsia="Times New Roman"/>
          <w:sz w:val="20"/>
          <w:szCs w:val="20"/>
        </w:rPr>
        <w:t xml:space="preserve">Suggested procedure </w:t>
      </w:r>
      <w:r>
        <w:rPr>
          <w:rFonts w:eastAsia="Times New Roman"/>
          <w:sz w:val="20"/>
          <w:szCs w:val="20"/>
        </w:rPr>
        <w:t xml:space="preserve">from Michele </w:t>
      </w:r>
      <w:r w:rsidRPr="00FC69D5">
        <w:rPr>
          <w:rFonts w:eastAsia="Times New Roman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/>
          <w:sz w:val="20"/>
          <w:szCs w:val="20"/>
        </w:rPr>
        <w:t>CinMIC</w:t>
      </w:r>
      <w:proofErr w:type="spellEnd"/>
      <w:r w:rsidRPr="00FC69D5">
        <w:rPr>
          <w:rFonts w:eastAsia="Times New Roman"/>
          <w:sz w:val="20"/>
          <w:szCs w:val="20"/>
        </w:rPr>
        <w:t xml:space="preserve"> partners:</w:t>
      </w:r>
    </w:p>
    <w:p w14:paraId="49AB14F9" w14:textId="77777777" w:rsidR="00AC5086" w:rsidRDefault="00AC5086" w:rsidP="00AC5086">
      <w:pPr>
        <w:rPr>
          <w:i/>
          <w:iCs/>
          <w:sz w:val="20"/>
          <w:szCs w:val="20"/>
        </w:rPr>
      </w:pPr>
      <w:r w:rsidRPr="00FC69D5">
        <w:rPr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i/>
          <w:iCs/>
          <w:sz w:val="20"/>
          <w:szCs w:val="20"/>
        </w:rPr>
        <w:t>selecting</w:t>
      </w:r>
      <w:proofErr w:type="gramEnd"/>
      <w:r w:rsidRPr="00FC69D5">
        <w:rPr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13" w:history="1">
        <w:r w:rsidRPr="00FC69D5">
          <w:rPr>
            <w:rStyle w:val="Hyperlink"/>
            <w:i/>
            <w:iCs/>
            <w:sz w:val="20"/>
            <w:szCs w:val="20"/>
          </w:rPr>
          <w:t>cinmic@bivio.com</w:t>
        </w:r>
      </w:hyperlink>
      <w:r w:rsidRPr="00FC69D5">
        <w:rPr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14:paraId="78B7108F" w14:textId="2203323D" w:rsidR="009D4A8B" w:rsidRDefault="009D4A8B" w:rsidP="00AC508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Stocks to study are available on the </w:t>
      </w:r>
      <w:proofErr w:type="spellStart"/>
      <w:r>
        <w:rPr>
          <w:i/>
          <w:iCs/>
          <w:sz w:val="20"/>
          <w:szCs w:val="20"/>
        </w:rPr>
        <w:t>ConMic</w:t>
      </w:r>
      <w:proofErr w:type="spellEnd"/>
      <w:r>
        <w:rPr>
          <w:i/>
          <w:iCs/>
          <w:sz w:val="20"/>
          <w:szCs w:val="20"/>
        </w:rPr>
        <w:t xml:space="preserve"> portfolio.</w:t>
      </w:r>
    </w:p>
    <w:p w14:paraId="435071E5" w14:textId="77777777" w:rsidR="00AC5086" w:rsidRDefault="00AC5086" w:rsidP="00AC5086">
      <w:pPr>
        <w:rPr>
          <w:color w:val="FF0000"/>
        </w:rPr>
      </w:pPr>
      <w:r w:rsidRPr="00260EB7">
        <w:rPr>
          <w:noProof/>
        </w:rPr>
        <w:drawing>
          <wp:inline distT="0" distB="0" distL="0" distR="0" wp14:anchorId="002E2514" wp14:editId="5C56E124">
            <wp:extent cx="6972300" cy="186499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26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B93A" w14:textId="77777777" w:rsidR="00AC5086" w:rsidRPr="00461101" w:rsidRDefault="00AC508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75695D03" w14:textId="77777777" w:rsidR="00DD0C95" w:rsidRPr="00461101" w:rsidRDefault="00DD0C95">
      <w:pPr>
        <w:widowControl w:val="0"/>
        <w:spacing w:after="0" w:line="240" w:lineRule="auto"/>
        <w:rPr>
          <w:rFonts w:cstheme="minorHAnsi"/>
          <w:noProof/>
        </w:rPr>
      </w:pPr>
    </w:p>
    <w:p w14:paraId="662231BA" w14:textId="5931A317" w:rsidR="00210734" w:rsidRPr="00461101" w:rsidRDefault="007361A8">
      <w:pPr>
        <w:widowControl w:val="0"/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bCs/>
          <w:u w:val="single"/>
          <w:lang w:val="en"/>
        </w:rPr>
        <w:t>Adjourned:</w:t>
      </w:r>
      <w:r w:rsidRPr="00461101">
        <w:rPr>
          <w:rFonts w:cstheme="minorHAnsi"/>
          <w:b/>
          <w:bCs/>
          <w:lang w:val="en"/>
        </w:rPr>
        <w:t xml:space="preserve"> </w:t>
      </w:r>
      <w:r w:rsidRPr="00461101">
        <w:rPr>
          <w:rFonts w:cstheme="minorHAnsi"/>
          <w:bCs/>
          <w:lang w:val="en"/>
        </w:rPr>
        <w:t xml:space="preserve">by Rich </w:t>
      </w:r>
      <w:r w:rsidR="002B7E6A">
        <w:rPr>
          <w:rFonts w:cstheme="minorHAnsi"/>
          <w:bCs/>
          <w:lang w:val="en"/>
        </w:rPr>
        <w:t xml:space="preserve">at </w:t>
      </w:r>
      <w:r w:rsidR="004A0A7E">
        <w:rPr>
          <w:rFonts w:cstheme="minorHAnsi"/>
          <w:bCs/>
          <w:lang w:val="en"/>
        </w:rPr>
        <w:t>11:</w:t>
      </w:r>
      <w:r w:rsidR="002032FB">
        <w:rPr>
          <w:rFonts w:cstheme="minorHAnsi"/>
          <w:bCs/>
          <w:lang w:val="en"/>
        </w:rPr>
        <w:t>52</w:t>
      </w:r>
      <w:r w:rsidR="004A0A7E">
        <w:rPr>
          <w:rFonts w:cstheme="minorHAnsi"/>
          <w:bCs/>
          <w:lang w:val="en"/>
        </w:rPr>
        <w:t>a</w:t>
      </w:r>
      <w:r w:rsidR="002032FB">
        <w:rPr>
          <w:rFonts w:cstheme="minorHAnsi"/>
          <w:bCs/>
          <w:lang w:val="en"/>
        </w:rPr>
        <w:t>m</w:t>
      </w:r>
    </w:p>
    <w:p w14:paraId="48DA8D4D" w14:textId="7EDE00BF" w:rsidR="00210734" w:rsidRDefault="007361A8" w:rsidP="00BA7BBC">
      <w:pPr>
        <w:widowControl w:val="0"/>
        <w:spacing w:after="0" w:line="240" w:lineRule="auto"/>
      </w:pPr>
      <w:r w:rsidRPr="00461101">
        <w:rPr>
          <w:rFonts w:cstheme="minorHAnsi"/>
          <w:bCs/>
          <w:lang w:val="en"/>
        </w:rPr>
        <w:t>Submitted</w:t>
      </w:r>
      <w:r w:rsidR="00AC5086">
        <w:rPr>
          <w:bCs/>
          <w:lang w:val="en"/>
        </w:rPr>
        <w:t xml:space="preserve"> by Kate Lester, </w:t>
      </w:r>
      <w:r w:rsidR="00BA7BBC">
        <w:rPr>
          <w:bCs/>
          <w:lang w:val="en"/>
        </w:rPr>
        <w:t xml:space="preserve"> recording partner</w:t>
      </w:r>
    </w:p>
    <w:sectPr w:rsidR="00210734">
      <w:footerReference w:type="default" r:id="rId15"/>
      <w:pgSz w:w="12240" w:h="15840"/>
      <w:pgMar w:top="720" w:right="720" w:bottom="777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9BFF2" w14:textId="77777777" w:rsidR="00403455" w:rsidRDefault="00403455">
      <w:pPr>
        <w:spacing w:after="0" w:line="240" w:lineRule="auto"/>
      </w:pPr>
      <w:r>
        <w:separator/>
      </w:r>
    </w:p>
  </w:endnote>
  <w:endnote w:type="continuationSeparator" w:id="0">
    <w:p w14:paraId="59E0C9AF" w14:textId="77777777" w:rsidR="00403455" w:rsidRDefault="0040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5B4B7" w14:textId="77777777" w:rsidR="00403455" w:rsidRDefault="0040345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16B77">
      <w:rPr>
        <w:noProof/>
      </w:rPr>
      <w:t>1</w:t>
    </w:r>
    <w:r>
      <w:fldChar w:fldCharType="end"/>
    </w:r>
  </w:p>
  <w:p w14:paraId="2A32AD51" w14:textId="77777777" w:rsidR="00403455" w:rsidRDefault="004034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B64E" w14:textId="77777777" w:rsidR="00403455" w:rsidRDefault="00403455">
      <w:pPr>
        <w:spacing w:after="0" w:line="240" w:lineRule="auto"/>
      </w:pPr>
      <w:r>
        <w:separator/>
      </w:r>
    </w:p>
  </w:footnote>
  <w:footnote w:type="continuationSeparator" w:id="0">
    <w:p w14:paraId="537D8B9A" w14:textId="77777777" w:rsidR="00403455" w:rsidRDefault="0040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E18"/>
    <w:multiLevelType w:val="hybridMultilevel"/>
    <w:tmpl w:val="0D14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3E67C0"/>
    <w:multiLevelType w:val="hybridMultilevel"/>
    <w:tmpl w:val="00E2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4585"/>
    <w:multiLevelType w:val="hybridMultilevel"/>
    <w:tmpl w:val="7FB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B2406"/>
    <w:multiLevelType w:val="hybridMultilevel"/>
    <w:tmpl w:val="8A4C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5C31"/>
    <w:multiLevelType w:val="hybridMultilevel"/>
    <w:tmpl w:val="1524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F180609"/>
    <w:multiLevelType w:val="hybridMultilevel"/>
    <w:tmpl w:val="86BC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9A6393"/>
    <w:multiLevelType w:val="hybridMultilevel"/>
    <w:tmpl w:val="9ED8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B5241D"/>
    <w:multiLevelType w:val="hybridMultilevel"/>
    <w:tmpl w:val="281A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D74C0"/>
    <w:multiLevelType w:val="hybridMultilevel"/>
    <w:tmpl w:val="BAD4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65F8"/>
    <w:multiLevelType w:val="hybridMultilevel"/>
    <w:tmpl w:val="7398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22A2B"/>
    <w:multiLevelType w:val="hybridMultilevel"/>
    <w:tmpl w:val="ECC6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0507"/>
    <w:multiLevelType w:val="hybridMultilevel"/>
    <w:tmpl w:val="3D4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A2219"/>
    <w:multiLevelType w:val="hybridMultilevel"/>
    <w:tmpl w:val="7D28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6F0CFB"/>
    <w:multiLevelType w:val="hybridMultilevel"/>
    <w:tmpl w:val="39D4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332F4"/>
    <w:multiLevelType w:val="hybridMultilevel"/>
    <w:tmpl w:val="972E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C5327CF"/>
    <w:multiLevelType w:val="hybridMultilevel"/>
    <w:tmpl w:val="B7FC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A13A0"/>
    <w:multiLevelType w:val="hybridMultilevel"/>
    <w:tmpl w:val="1516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8B25BC"/>
    <w:multiLevelType w:val="hybridMultilevel"/>
    <w:tmpl w:val="93AC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9"/>
  </w:num>
  <w:num w:numId="5">
    <w:abstractNumId w:val="22"/>
  </w:num>
  <w:num w:numId="6">
    <w:abstractNumId w:val="18"/>
  </w:num>
  <w:num w:numId="7">
    <w:abstractNumId w:val="7"/>
  </w:num>
  <w:num w:numId="8">
    <w:abstractNumId w:val="1"/>
  </w:num>
  <w:num w:numId="9">
    <w:abstractNumId w:val="26"/>
  </w:num>
  <w:num w:numId="10">
    <w:abstractNumId w:val="8"/>
  </w:num>
  <w:num w:numId="11">
    <w:abstractNumId w:val="13"/>
  </w:num>
  <w:num w:numId="12">
    <w:abstractNumId w:val="21"/>
  </w:num>
  <w:num w:numId="13">
    <w:abstractNumId w:val="12"/>
  </w:num>
  <w:num w:numId="14">
    <w:abstractNumId w:val="20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17"/>
  </w:num>
  <w:num w:numId="20">
    <w:abstractNumId w:val="23"/>
  </w:num>
  <w:num w:numId="21">
    <w:abstractNumId w:val="5"/>
  </w:num>
  <w:num w:numId="22">
    <w:abstractNumId w:val="19"/>
  </w:num>
  <w:num w:numId="23">
    <w:abstractNumId w:val="15"/>
  </w:num>
  <w:num w:numId="24">
    <w:abstractNumId w:val="0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34"/>
    <w:rsid w:val="0000680E"/>
    <w:rsid w:val="000505A1"/>
    <w:rsid w:val="00055F9E"/>
    <w:rsid w:val="000A44A0"/>
    <w:rsid w:val="000B6B20"/>
    <w:rsid w:val="000B7E87"/>
    <w:rsid w:val="000D3997"/>
    <w:rsid w:val="0016382E"/>
    <w:rsid w:val="001C6864"/>
    <w:rsid w:val="001D1B8E"/>
    <w:rsid w:val="001E0030"/>
    <w:rsid w:val="001F262F"/>
    <w:rsid w:val="002032FB"/>
    <w:rsid w:val="00210734"/>
    <w:rsid w:val="00216B77"/>
    <w:rsid w:val="00234AF1"/>
    <w:rsid w:val="00237538"/>
    <w:rsid w:val="00272F49"/>
    <w:rsid w:val="00285CF7"/>
    <w:rsid w:val="002B7E6A"/>
    <w:rsid w:val="00300B02"/>
    <w:rsid w:val="00310420"/>
    <w:rsid w:val="00322DE0"/>
    <w:rsid w:val="00372438"/>
    <w:rsid w:val="003A366E"/>
    <w:rsid w:val="003F1417"/>
    <w:rsid w:val="003F6168"/>
    <w:rsid w:val="00403455"/>
    <w:rsid w:val="00415434"/>
    <w:rsid w:val="00441D2B"/>
    <w:rsid w:val="004478F1"/>
    <w:rsid w:val="00461101"/>
    <w:rsid w:val="00461713"/>
    <w:rsid w:val="004859CD"/>
    <w:rsid w:val="004A0A7E"/>
    <w:rsid w:val="00500513"/>
    <w:rsid w:val="00532C66"/>
    <w:rsid w:val="00540224"/>
    <w:rsid w:val="005477CB"/>
    <w:rsid w:val="005708FF"/>
    <w:rsid w:val="00573F95"/>
    <w:rsid w:val="00597EFE"/>
    <w:rsid w:val="005A0EB0"/>
    <w:rsid w:val="005B6350"/>
    <w:rsid w:val="005C5C29"/>
    <w:rsid w:val="005D1E3D"/>
    <w:rsid w:val="0067144B"/>
    <w:rsid w:val="006840A1"/>
    <w:rsid w:val="00684BF3"/>
    <w:rsid w:val="006E041F"/>
    <w:rsid w:val="00712B5C"/>
    <w:rsid w:val="007216E3"/>
    <w:rsid w:val="0073314E"/>
    <w:rsid w:val="007361A8"/>
    <w:rsid w:val="0073759E"/>
    <w:rsid w:val="00740779"/>
    <w:rsid w:val="00767512"/>
    <w:rsid w:val="007B2482"/>
    <w:rsid w:val="007C6E26"/>
    <w:rsid w:val="007E2CCB"/>
    <w:rsid w:val="008033C1"/>
    <w:rsid w:val="00843A77"/>
    <w:rsid w:val="0085145C"/>
    <w:rsid w:val="00895A07"/>
    <w:rsid w:val="008B41A0"/>
    <w:rsid w:val="00916292"/>
    <w:rsid w:val="00920A5E"/>
    <w:rsid w:val="009B7C20"/>
    <w:rsid w:val="009D4A8B"/>
    <w:rsid w:val="009D4C97"/>
    <w:rsid w:val="009E396D"/>
    <w:rsid w:val="00A62A9C"/>
    <w:rsid w:val="00A9657E"/>
    <w:rsid w:val="00AA52AA"/>
    <w:rsid w:val="00AC5086"/>
    <w:rsid w:val="00AD0DD3"/>
    <w:rsid w:val="00AD106A"/>
    <w:rsid w:val="00AF4136"/>
    <w:rsid w:val="00B51705"/>
    <w:rsid w:val="00B52CCF"/>
    <w:rsid w:val="00B72983"/>
    <w:rsid w:val="00B8100B"/>
    <w:rsid w:val="00B901F5"/>
    <w:rsid w:val="00BA730E"/>
    <w:rsid w:val="00BA7BBC"/>
    <w:rsid w:val="00BB631D"/>
    <w:rsid w:val="00BD2E5F"/>
    <w:rsid w:val="00C14AA3"/>
    <w:rsid w:val="00C62AF1"/>
    <w:rsid w:val="00CA5FD6"/>
    <w:rsid w:val="00CB59E4"/>
    <w:rsid w:val="00CF0CF5"/>
    <w:rsid w:val="00CF4A94"/>
    <w:rsid w:val="00D16D36"/>
    <w:rsid w:val="00D31FF0"/>
    <w:rsid w:val="00D34470"/>
    <w:rsid w:val="00D75707"/>
    <w:rsid w:val="00DA3FD6"/>
    <w:rsid w:val="00DB766F"/>
    <w:rsid w:val="00DC401D"/>
    <w:rsid w:val="00DD0C95"/>
    <w:rsid w:val="00E21780"/>
    <w:rsid w:val="00E2480D"/>
    <w:rsid w:val="00E70EFA"/>
    <w:rsid w:val="00EE49C9"/>
    <w:rsid w:val="00F125CD"/>
    <w:rsid w:val="00F57721"/>
    <w:rsid w:val="00F94041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CE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74KV7LF" TargetMode="External"/><Relationship Id="rId12" Type="http://schemas.openxmlformats.org/officeDocument/2006/relationships/hyperlink" Target="mailto:cinmic@bivio.com" TargetMode="External"/><Relationship Id="rId13" Type="http://schemas.openxmlformats.org/officeDocument/2006/relationships/hyperlink" Target="mailto:cinmic@bivio.com" TargetMode="External"/><Relationship Id="rId14" Type="http://schemas.openxmlformats.org/officeDocument/2006/relationships/image" Target="media/image1.emf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RDHP243" TargetMode="External"/><Relationship Id="rId10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6A71-04BA-274D-A8D7-E00ADD75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960</Words>
  <Characters>5475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23</cp:revision>
  <cp:lastPrinted>2018-12-14T22:42:00Z</cp:lastPrinted>
  <dcterms:created xsi:type="dcterms:W3CDTF">2019-02-16T15:00:00Z</dcterms:created>
  <dcterms:modified xsi:type="dcterms:W3CDTF">2019-02-16T16:54:00Z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