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06" w:rsidRDefault="00AF0964">
      <w:pPr>
        <w:widowControl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Cincinnati Model Investment Club Minutes</w:t>
      </w:r>
    </w:p>
    <w:p w:rsidR="006D7806" w:rsidRDefault="00AF0964">
      <w:pPr>
        <w:widowControl w:val="0"/>
        <w:spacing w:after="0" w:line="240" w:lineRule="auto"/>
        <w:jc w:val="center"/>
      </w:pPr>
      <w:proofErr w:type="spellStart"/>
      <w:r>
        <w:rPr>
          <w:rFonts w:cstheme="minorHAnsi"/>
          <w:bCs/>
          <w:lang w:val="en"/>
        </w:rPr>
        <w:t>Midpointe</w:t>
      </w:r>
      <w:proofErr w:type="spellEnd"/>
      <w:r>
        <w:rPr>
          <w:rFonts w:cstheme="minorHAnsi"/>
          <w:bCs/>
          <w:lang w:val="en"/>
        </w:rPr>
        <w:t xml:space="preserve"> Library – </w:t>
      </w:r>
      <w:r w:rsidR="00941D89">
        <w:rPr>
          <w:rFonts w:cstheme="minorHAnsi"/>
          <w:bCs/>
          <w:lang w:val="en"/>
        </w:rPr>
        <w:t>January 18, 2020</w:t>
      </w:r>
    </w:p>
    <w:p w:rsidR="006D7806" w:rsidRPr="003C14DF" w:rsidRDefault="006D7806">
      <w:pPr>
        <w:widowControl w:val="0"/>
        <w:spacing w:after="0" w:line="240" w:lineRule="auto"/>
        <w:rPr>
          <w:rFonts w:cstheme="minorHAnsi"/>
          <w:b/>
          <w:bCs/>
          <w:lang w:val="en"/>
        </w:rPr>
      </w:pPr>
    </w:p>
    <w:p w:rsidR="006D7806" w:rsidRPr="00A525C3" w:rsidRDefault="00AF0964">
      <w:pPr>
        <w:widowControl w:val="0"/>
        <w:spacing w:after="0" w:line="240" w:lineRule="auto"/>
        <w:rPr>
          <w:rFonts w:cstheme="minorHAnsi"/>
        </w:rPr>
      </w:pPr>
      <w:r w:rsidRPr="00A525C3">
        <w:rPr>
          <w:rFonts w:cstheme="minorHAnsi"/>
          <w:b/>
          <w:bCs/>
          <w:u w:val="single"/>
          <w:lang w:val="en"/>
        </w:rPr>
        <w:t>Call to Order</w:t>
      </w:r>
      <w:r w:rsidRPr="00A525C3">
        <w:rPr>
          <w:rFonts w:cstheme="minorHAnsi"/>
          <w:b/>
          <w:bCs/>
          <w:lang w:val="en"/>
        </w:rPr>
        <w:t>:</w:t>
      </w:r>
      <w:r w:rsidR="00405B0B" w:rsidRPr="00A525C3">
        <w:rPr>
          <w:rFonts w:cstheme="minorHAnsi"/>
          <w:bCs/>
          <w:lang w:val="en"/>
        </w:rPr>
        <w:t xml:space="preserve"> President</w:t>
      </w:r>
      <w:r w:rsidRPr="00A525C3">
        <w:rPr>
          <w:rFonts w:cstheme="minorHAnsi"/>
          <w:bCs/>
          <w:lang w:val="en"/>
        </w:rPr>
        <w:t xml:space="preserve"> Richard Alden</w:t>
      </w:r>
      <w:r w:rsidRPr="00A525C3">
        <w:rPr>
          <w:rFonts w:cstheme="minorHAnsi"/>
          <w:lang w:val="en"/>
        </w:rPr>
        <w:t xml:space="preserve"> cal</w:t>
      </w:r>
      <w:r w:rsidR="00327015" w:rsidRPr="00A525C3">
        <w:rPr>
          <w:rFonts w:cstheme="minorHAnsi"/>
          <w:lang w:val="en"/>
        </w:rPr>
        <w:t xml:space="preserve">led the meeting to order at </w:t>
      </w:r>
      <w:r w:rsidR="00F70414" w:rsidRPr="00A525C3">
        <w:rPr>
          <w:rFonts w:cstheme="minorHAnsi"/>
          <w:lang w:val="en"/>
        </w:rPr>
        <w:t>9:32</w:t>
      </w:r>
      <w:r w:rsidR="00CA5807" w:rsidRPr="00A525C3">
        <w:rPr>
          <w:rFonts w:cstheme="minorHAnsi"/>
          <w:lang w:val="en"/>
        </w:rPr>
        <w:t xml:space="preserve"> </w:t>
      </w:r>
      <w:r w:rsidRPr="00A525C3">
        <w:rPr>
          <w:rFonts w:cstheme="minorHAnsi"/>
          <w:lang w:val="en"/>
        </w:rPr>
        <w:t>a</w:t>
      </w:r>
      <w:r w:rsidR="00327015" w:rsidRPr="00A525C3">
        <w:rPr>
          <w:rFonts w:cstheme="minorHAnsi"/>
          <w:lang w:val="en"/>
        </w:rPr>
        <w:t>m</w:t>
      </w:r>
      <w:r w:rsidRPr="00A525C3">
        <w:rPr>
          <w:rFonts w:cstheme="minorHAnsi"/>
          <w:lang w:val="en"/>
        </w:rPr>
        <w:t xml:space="preserve">. Proxies were noted. </w:t>
      </w:r>
    </w:p>
    <w:p w:rsidR="002A25C8" w:rsidRDefault="002A25C8">
      <w:pPr>
        <w:widowControl w:val="0"/>
        <w:spacing w:after="0" w:line="240" w:lineRule="auto"/>
        <w:rPr>
          <w:rFonts w:cstheme="minorHAnsi"/>
          <w:b/>
          <w:lang w:val="en"/>
        </w:rPr>
      </w:pPr>
    </w:p>
    <w:p w:rsidR="006D7806" w:rsidRPr="00A525C3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A525C3">
        <w:rPr>
          <w:rFonts w:cstheme="minorHAnsi"/>
          <w:b/>
          <w:lang w:val="en"/>
        </w:rPr>
        <w:t>Guests in Person:</w:t>
      </w:r>
      <w:r w:rsidRPr="00A525C3">
        <w:rPr>
          <w:rFonts w:cstheme="minorHAnsi"/>
          <w:lang w:val="en"/>
        </w:rPr>
        <w:t xml:space="preserve"> </w:t>
      </w:r>
      <w:r w:rsidR="00A525C3" w:rsidRPr="00A525C3">
        <w:rPr>
          <w:rFonts w:cstheme="minorHAnsi"/>
          <w:lang w:val="en"/>
        </w:rPr>
        <w:t xml:space="preserve">Paul </w:t>
      </w:r>
      <w:proofErr w:type="spellStart"/>
      <w:r w:rsidR="00A525C3" w:rsidRPr="00A525C3">
        <w:rPr>
          <w:rFonts w:cstheme="minorHAnsi"/>
          <w:lang w:val="en"/>
        </w:rPr>
        <w:t>Pezzenti</w:t>
      </w:r>
      <w:proofErr w:type="spellEnd"/>
      <w:r w:rsidR="00FD5234" w:rsidRPr="00A525C3">
        <w:rPr>
          <w:rFonts w:cstheme="minorHAnsi"/>
          <w:lang w:val="en"/>
        </w:rPr>
        <w:t>,</w:t>
      </w:r>
      <w:r w:rsidR="00A525C3" w:rsidRPr="00A525C3">
        <w:rPr>
          <w:rFonts w:cstheme="minorHAnsi"/>
          <w:lang w:val="en"/>
        </w:rPr>
        <w:t xml:space="preserve"> Dick Shumaker, Bob Chambers</w:t>
      </w:r>
      <w:r w:rsidR="00A525C3" w:rsidRPr="00A525C3">
        <w:rPr>
          <w:rFonts w:cstheme="minorHAnsi"/>
          <w:lang w:val="en"/>
        </w:rPr>
        <w:t xml:space="preserve">, </w:t>
      </w:r>
      <w:r w:rsidR="00CA5807" w:rsidRPr="00A525C3">
        <w:rPr>
          <w:rFonts w:cstheme="minorHAnsi"/>
          <w:lang w:val="en"/>
        </w:rPr>
        <w:t>Eugene Burnett</w:t>
      </w:r>
      <w:r w:rsidR="00A525C3" w:rsidRPr="00A525C3">
        <w:rPr>
          <w:rFonts w:cstheme="minorHAnsi"/>
          <w:lang w:val="en"/>
        </w:rPr>
        <w:t>, James Ridenour</w:t>
      </w:r>
    </w:p>
    <w:p w:rsidR="00941D89" w:rsidRPr="00A525C3" w:rsidRDefault="00941D89">
      <w:pPr>
        <w:widowControl w:val="0"/>
        <w:spacing w:after="0" w:line="240" w:lineRule="auto"/>
        <w:rPr>
          <w:rFonts w:cstheme="minorHAnsi"/>
        </w:rPr>
      </w:pPr>
    </w:p>
    <w:p w:rsidR="006D7806" w:rsidRPr="00A525C3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A525C3">
        <w:rPr>
          <w:rFonts w:cstheme="minorHAnsi"/>
          <w:b/>
          <w:lang w:val="en"/>
        </w:rPr>
        <w:t xml:space="preserve">Guests on Webinar: </w:t>
      </w:r>
      <w:r w:rsidR="0073387B" w:rsidRPr="00A525C3">
        <w:rPr>
          <w:rFonts w:cstheme="minorHAnsi"/>
          <w:lang w:val="en"/>
        </w:rPr>
        <w:t xml:space="preserve"> </w:t>
      </w:r>
      <w:r w:rsidR="00F70414" w:rsidRPr="00A525C3">
        <w:rPr>
          <w:rFonts w:cstheme="minorHAnsi"/>
          <w:lang w:val="en"/>
        </w:rPr>
        <w:t>Gene Senter, Charles Riley, William Baker, Mark Williams</w:t>
      </w:r>
    </w:p>
    <w:p w:rsidR="006D7806" w:rsidRPr="00A525C3" w:rsidRDefault="006D7806">
      <w:pPr>
        <w:widowControl w:val="0"/>
        <w:spacing w:after="0" w:line="240" w:lineRule="auto"/>
        <w:rPr>
          <w:rFonts w:cstheme="minorHAnsi"/>
          <w:lang w:val="en"/>
        </w:rPr>
      </w:pP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A525C3" w:rsidTr="00E5569A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b/>
                <w:bCs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AF096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b/>
                <w:bCs/>
                <w:lang w:val="en"/>
              </w:rPr>
              <w:t>Here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b/>
                <w:bCs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AF096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b/>
                <w:bCs/>
                <w:lang w:val="en"/>
              </w:rPr>
              <w:t>Here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b/>
                <w:bCs/>
                <w:lang w:val="en"/>
              </w:rPr>
              <w:t>Proxy</w:t>
            </w:r>
          </w:p>
        </w:tc>
      </w:tr>
      <w:tr w:rsidR="006D7806" w:rsidRPr="00A525C3" w:rsidTr="00E5569A">
        <w:trPr>
          <w:trHeight w:val="25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 xml:space="preserve">Jackie </w:t>
            </w:r>
            <w:proofErr w:type="spellStart"/>
            <w:r w:rsidRPr="00A525C3">
              <w:rPr>
                <w:rFonts w:cstheme="minorHAnsi"/>
                <w:lang w:val="en"/>
              </w:rPr>
              <w:t>Koski</w:t>
            </w:r>
            <w:proofErr w:type="spellEnd"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F7041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525C3">
              <w:rPr>
                <w:rFonts w:cstheme="minorHAnsi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 xml:space="preserve">Harrison </w:t>
            </w:r>
            <w:proofErr w:type="spellStart"/>
            <w:r w:rsidRPr="00A525C3">
              <w:rPr>
                <w:rFonts w:cstheme="minorHAnsi"/>
                <w:lang w:val="en"/>
              </w:rPr>
              <w:t>Baumbaugh</w:t>
            </w:r>
            <w:proofErr w:type="spellEnd"/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F70414" w:rsidP="00C3519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525C3">
              <w:rPr>
                <w:rFonts w:cstheme="minorHAnsi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A525C3" w:rsidTr="00E5569A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Betsy Eller,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F7041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525C3">
              <w:rPr>
                <w:rFonts w:cstheme="minorHAnsi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F7041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(Dene)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F7041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525C3">
              <w:rPr>
                <w:rFonts w:cstheme="minorHAnsi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A525C3" w:rsidTr="00E5569A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F7041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525C3">
              <w:rPr>
                <w:rFonts w:cstheme="minorHAnsi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F7041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525C3">
              <w:rPr>
                <w:rFonts w:cstheme="minorHAnsi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A525C3" w:rsidTr="00E5569A">
        <w:trPr>
          <w:trHeight w:val="170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F7041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525C3">
              <w:rPr>
                <w:rFonts w:cstheme="minorHAnsi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F7041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(Craig)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F7041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525C3">
              <w:rPr>
                <w:rFonts w:cstheme="minorHAnsi"/>
              </w:rPr>
              <w:t>---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A525C3" w:rsidRDefault="006D7806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</w:tr>
      <w:tr w:rsidR="00E5569A" w:rsidRPr="00A525C3" w:rsidTr="00E5569A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 xml:space="preserve">Gerry </w:t>
            </w:r>
            <w:proofErr w:type="spellStart"/>
            <w:r w:rsidRPr="00A525C3">
              <w:rPr>
                <w:rFonts w:cstheme="minorHAnsi"/>
                <w:lang w:val="en"/>
              </w:rPr>
              <w:t>Geverdt</w:t>
            </w:r>
            <w:proofErr w:type="spellEnd"/>
            <w:r w:rsidRPr="00A525C3">
              <w:rPr>
                <w:rFonts w:cstheme="minorHAnsi"/>
                <w:lang w:val="en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F70414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525C3">
              <w:rPr>
                <w:rFonts w:cstheme="minorHAnsi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 xml:space="preserve">Michele </w:t>
            </w:r>
            <w:proofErr w:type="spellStart"/>
            <w:r w:rsidRPr="00A525C3">
              <w:rPr>
                <w:rFonts w:cstheme="minorHAnsi"/>
                <w:lang w:val="en"/>
              </w:rPr>
              <w:t>Grinoch</w:t>
            </w:r>
            <w:proofErr w:type="spellEnd"/>
            <w:r w:rsidRPr="00A525C3">
              <w:rPr>
                <w:rFonts w:cstheme="minorHAnsi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F70414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525C3">
              <w:rPr>
                <w:rFonts w:cstheme="minorHAnsi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5569A" w:rsidRPr="00A525C3" w:rsidTr="00E5569A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E5569A" w:rsidP="00E5569A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A525C3">
              <w:rPr>
                <w:rFonts w:cstheme="minorHAnsi"/>
                <w:lang w:val="en"/>
              </w:rPr>
              <w:t>Dene Alden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F855BD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525C3">
              <w:rPr>
                <w:rFonts w:cstheme="minorHAnsi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 xml:space="preserve"> 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Kate Lester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F70414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525C3">
              <w:rPr>
                <w:rFonts w:cstheme="minorHAnsi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E5569A" w:rsidRPr="00A525C3" w:rsidTr="00E5569A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F855BD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525C3">
              <w:rPr>
                <w:rFonts w:cstheme="minorHAnsi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E5569A" w:rsidRPr="00A525C3" w:rsidTr="00E5569A">
        <w:trPr>
          <w:trHeight w:val="305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 xml:space="preserve">Cheryl </w:t>
            </w:r>
            <w:proofErr w:type="spellStart"/>
            <w:r w:rsidRPr="00A525C3">
              <w:rPr>
                <w:rFonts w:cstheme="minorHAnsi"/>
                <w:lang w:val="en"/>
              </w:rPr>
              <w:t>Hargett</w:t>
            </w:r>
            <w:proofErr w:type="spellEnd"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F70414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525C3">
              <w:rPr>
                <w:rFonts w:cstheme="minorHAnsi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E5569A" w:rsidRPr="00A525C3" w:rsidTr="00E5569A">
        <w:trPr>
          <w:trHeight w:val="305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Bill Meehan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F70414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A525C3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</w:tbl>
    <w:p w:rsidR="006D7806" w:rsidRPr="00A525C3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A525C3">
        <w:rPr>
          <w:rFonts w:cstheme="minorHAnsi"/>
          <w:lang w:val="en"/>
        </w:rPr>
        <w:t>Note: Parentheses denote provisional presence or proxies should members not be present for the full meeting</w:t>
      </w:r>
    </w:p>
    <w:p w:rsidR="006D7806" w:rsidRPr="00A525C3" w:rsidRDefault="006D7806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604B21" w:rsidRPr="00A525C3" w:rsidRDefault="00AF0964" w:rsidP="00604B21">
      <w:pPr>
        <w:widowControl w:val="0"/>
        <w:spacing w:after="0" w:line="240" w:lineRule="auto"/>
        <w:ind w:left="90" w:hanging="90"/>
        <w:rPr>
          <w:rFonts w:cstheme="minorHAnsi"/>
        </w:rPr>
      </w:pPr>
      <w:r w:rsidRPr="00A525C3">
        <w:rPr>
          <w:rFonts w:cstheme="minorHAnsi"/>
          <w:b/>
          <w:bCs/>
          <w:u w:val="single"/>
          <w:lang w:val="en"/>
        </w:rPr>
        <w:t>Recording Partner’s Report</w:t>
      </w:r>
      <w:r w:rsidRPr="00A525C3">
        <w:rPr>
          <w:rFonts w:cstheme="minorHAnsi"/>
          <w:b/>
          <w:bCs/>
          <w:lang w:val="en"/>
        </w:rPr>
        <w:t>:</w:t>
      </w:r>
      <w:r w:rsidRPr="00A525C3">
        <w:rPr>
          <w:rFonts w:cstheme="minorHAnsi"/>
          <w:bCs/>
          <w:lang w:val="en"/>
        </w:rPr>
        <w:t xml:space="preserve"> </w:t>
      </w:r>
      <w:r w:rsidR="00941D89" w:rsidRPr="00A525C3">
        <w:rPr>
          <w:rFonts w:eastAsia="Times New Roman" w:cstheme="minorHAnsi"/>
        </w:rPr>
        <w:t>Minutes for Dec 14</w:t>
      </w:r>
      <w:r w:rsidR="00604B21" w:rsidRPr="00A525C3">
        <w:rPr>
          <w:rFonts w:eastAsia="Times New Roman" w:cstheme="minorHAnsi"/>
        </w:rPr>
        <w:t>, 2019 Meeting – posted</w:t>
      </w:r>
      <w:r w:rsidR="00941D89" w:rsidRPr="00A525C3">
        <w:rPr>
          <w:rFonts w:eastAsia="Times New Roman" w:cstheme="minorHAnsi"/>
        </w:rPr>
        <w:t xml:space="preserve"> to </w:t>
      </w:r>
      <w:proofErr w:type="spellStart"/>
      <w:r w:rsidR="00941D89" w:rsidRPr="00A525C3">
        <w:rPr>
          <w:rFonts w:eastAsia="Times New Roman" w:cstheme="minorHAnsi"/>
        </w:rPr>
        <w:t>bivio</w:t>
      </w:r>
      <w:proofErr w:type="spellEnd"/>
      <w:r w:rsidR="00941D89" w:rsidRPr="00A525C3">
        <w:rPr>
          <w:rFonts w:eastAsia="Times New Roman" w:cstheme="minorHAnsi"/>
        </w:rPr>
        <w:t xml:space="preserve"> on Dec 14</w:t>
      </w:r>
      <w:r w:rsidR="00604B21" w:rsidRPr="00A525C3">
        <w:rPr>
          <w:rFonts w:eastAsia="Times New Roman" w:cstheme="minorHAnsi"/>
        </w:rPr>
        <w:t xml:space="preserve">, 2019. </w:t>
      </w:r>
      <w:r w:rsidR="001F2E14" w:rsidRPr="00A525C3">
        <w:rPr>
          <w:rFonts w:eastAsia="Times New Roman" w:cstheme="minorHAnsi"/>
        </w:rPr>
        <w:t xml:space="preserve"> No corrections</w:t>
      </w:r>
    </w:p>
    <w:p w:rsidR="006D7806" w:rsidRPr="00A525C3" w:rsidRDefault="006D7806" w:rsidP="00604B21">
      <w:pPr>
        <w:widowControl w:val="0"/>
        <w:spacing w:after="0" w:line="240" w:lineRule="auto"/>
        <w:ind w:left="2160" w:hanging="2160"/>
        <w:rPr>
          <w:rFonts w:cstheme="minorHAnsi"/>
          <w:lang w:val="en"/>
        </w:rPr>
      </w:pPr>
    </w:p>
    <w:p w:rsidR="006D7806" w:rsidRPr="00A525C3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A525C3">
        <w:rPr>
          <w:rFonts w:cstheme="minorHAnsi"/>
          <w:b/>
          <w:bCs/>
          <w:u w:val="single"/>
          <w:lang w:val="en"/>
        </w:rPr>
        <w:t>Financial Partner’s Report</w:t>
      </w:r>
      <w:r w:rsidRPr="00A525C3">
        <w:rPr>
          <w:rFonts w:cstheme="minorHAnsi"/>
          <w:b/>
          <w:bCs/>
          <w:lang w:val="en"/>
        </w:rPr>
        <w:t>:</w:t>
      </w:r>
      <w:r w:rsidRPr="00A525C3">
        <w:rPr>
          <w:rFonts w:cstheme="minorHAnsi"/>
          <w:lang w:val="en"/>
        </w:rPr>
        <w:t xml:space="preserve"> </w:t>
      </w:r>
    </w:p>
    <w:p w:rsidR="00EB25D6" w:rsidRPr="00A525C3" w:rsidRDefault="00EB25D6" w:rsidP="00EB25D6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</w:rPr>
      </w:pPr>
      <w:r w:rsidRPr="00A525C3">
        <w:rPr>
          <w:rFonts w:asciiTheme="minorHAnsi" w:hAnsiTheme="minorHAnsi" w:cstheme="minorHAnsi"/>
          <w:color w:val="auto"/>
          <w:sz w:val="22"/>
        </w:rPr>
        <w:t>Current financial report, current cash balance $</w:t>
      </w:r>
      <w:r w:rsidR="00F70414" w:rsidRPr="00A525C3">
        <w:rPr>
          <w:rFonts w:asciiTheme="minorHAnsi" w:hAnsiTheme="minorHAnsi" w:cstheme="minorHAnsi"/>
          <w:color w:val="auto"/>
          <w:sz w:val="22"/>
        </w:rPr>
        <w:t>6,082.90</w:t>
      </w:r>
      <w:r w:rsidR="00E5569A" w:rsidRPr="00A525C3">
        <w:rPr>
          <w:rFonts w:asciiTheme="minorHAnsi" w:hAnsiTheme="minorHAnsi" w:cstheme="minorHAnsi"/>
          <w:color w:val="auto"/>
          <w:sz w:val="22"/>
        </w:rPr>
        <w:t xml:space="preserve">, limit order for 5 </w:t>
      </w:r>
      <w:proofErr w:type="spellStart"/>
      <w:r w:rsidR="00E5569A" w:rsidRPr="00A525C3">
        <w:rPr>
          <w:rFonts w:asciiTheme="minorHAnsi" w:hAnsiTheme="minorHAnsi" w:cstheme="minorHAnsi"/>
          <w:color w:val="auto"/>
          <w:sz w:val="22"/>
        </w:rPr>
        <w:t>sh</w:t>
      </w:r>
      <w:proofErr w:type="spellEnd"/>
      <w:r w:rsidR="00E5569A" w:rsidRPr="00A525C3">
        <w:rPr>
          <w:rFonts w:asciiTheme="minorHAnsi" w:hAnsiTheme="minorHAnsi" w:cstheme="minorHAnsi"/>
          <w:color w:val="auto"/>
          <w:sz w:val="22"/>
        </w:rPr>
        <w:t xml:space="preserve"> of ILMN @$295/</w:t>
      </w:r>
      <w:proofErr w:type="spellStart"/>
      <w:r w:rsidR="00E5569A" w:rsidRPr="00A525C3">
        <w:rPr>
          <w:rFonts w:asciiTheme="minorHAnsi" w:hAnsiTheme="minorHAnsi" w:cstheme="minorHAnsi"/>
          <w:color w:val="auto"/>
          <w:sz w:val="22"/>
        </w:rPr>
        <w:t>sh</w:t>
      </w:r>
      <w:proofErr w:type="spellEnd"/>
      <w:r w:rsidR="00E5569A" w:rsidRPr="00A525C3">
        <w:rPr>
          <w:rFonts w:asciiTheme="minorHAnsi" w:hAnsiTheme="minorHAnsi" w:cstheme="minorHAnsi"/>
          <w:color w:val="auto"/>
          <w:sz w:val="22"/>
        </w:rPr>
        <w:t xml:space="preserve"> ($1,475)</w:t>
      </w:r>
    </w:p>
    <w:p w:rsidR="00941D89" w:rsidRPr="00A525C3" w:rsidRDefault="00941D89" w:rsidP="00941D89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</w:rPr>
      </w:pPr>
      <w:r w:rsidRPr="00A525C3">
        <w:rPr>
          <w:rFonts w:asciiTheme="minorHAnsi" w:hAnsiTheme="minorHAnsi" w:cstheme="minorHAnsi"/>
          <w:color w:val="auto"/>
          <w:sz w:val="22"/>
        </w:rPr>
        <w:t>Payout of Frank’s shares: $8,002.96</w:t>
      </w:r>
      <w:r w:rsidR="00C47FD3">
        <w:rPr>
          <w:rFonts w:asciiTheme="minorHAnsi" w:hAnsiTheme="minorHAnsi" w:cstheme="minorHAnsi"/>
          <w:color w:val="auto"/>
          <w:sz w:val="22"/>
        </w:rPr>
        <w:t>, completed</w:t>
      </w:r>
    </w:p>
    <w:p w:rsidR="00941D89" w:rsidRPr="00A525C3" w:rsidRDefault="00941D89" w:rsidP="00941D89">
      <w:pPr>
        <w:pStyle w:val="NoSpacing"/>
        <w:numPr>
          <w:ilvl w:val="0"/>
          <w:numId w:val="11"/>
        </w:numPr>
        <w:rPr>
          <w:rStyle w:val="Hyperlink"/>
          <w:rFonts w:asciiTheme="minorHAnsi" w:hAnsiTheme="minorHAnsi" w:cstheme="minorHAnsi"/>
          <w:color w:val="auto"/>
          <w:sz w:val="22"/>
          <w:u w:val="none"/>
        </w:rPr>
      </w:pPr>
      <w:r w:rsidRPr="00A525C3">
        <w:rPr>
          <w:rFonts w:asciiTheme="minorHAnsi" w:hAnsiTheme="minorHAnsi" w:cstheme="minorHAnsi"/>
          <w:color w:val="auto"/>
          <w:sz w:val="22"/>
        </w:rPr>
        <w:t xml:space="preserve">Jackie’s F.I.R.E. </w:t>
      </w:r>
      <w:r w:rsidRPr="00A525C3">
        <w:rPr>
          <w:rStyle w:val="Hyperlink"/>
          <w:rFonts w:asciiTheme="minorHAnsi" w:hAnsiTheme="minorHAnsi" w:cstheme="minorHAnsi"/>
          <w:color w:val="auto"/>
          <w:sz w:val="22"/>
          <w:u w:val="none"/>
        </w:rPr>
        <w:t>withdrawal of $8,000, pay this month</w:t>
      </w:r>
      <w:r w:rsidR="00C47FD3">
        <w:rPr>
          <w:rStyle w:val="Hyperlink"/>
          <w:rFonts w:asciiTheme="minorHAnsi" w:hAnsiTheme="minorHAnsi" w:cstheme="minorHAnsi"/>
          <w:color w:val="auto"/>
          <w:sz w:val="22"/>
          <w:u w:val="none"/>
        </w:rPr>
        <w:t>; other withdrawals possible</w:t>
      </w:r>
    </w:p>
    <w:p w:rsidR="00E6393B" w:rsidRPr="00A525C3" w:rsidRDefault="00941D89" w:rsidP="00941D89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b/>
          <w:bCs/>
          <w:color w:val="00000A"/>
          <w:sz w:val="22"/>
          <w:lang w:val="en"/>
        </w:rPr>
      </w:pPr>
      <w:r w:rsidRPr="00A525C3">
        <w:rPr>
          <w:rStyle w:val="Hyperlink"/>
          <w:rFonts w:asciiTheme="minorHAnsi" w:hAnsiTheme="minorHAnsi" w:cstheme="minorHAnsi"/>
          <w:color w:val="auto"/>
          <w:sz w:val="22"/>
          <w:u w:val="none"/>
        </w:rPr>
        <w:t>Manifest Investing renewal - $400.00, write check from club treasury</w:t>
      </w:r>
      <w:r w:rsidR="00121E21">
        <w:rPr>
          <w:rStyle w:val="Hyperlink"/>
          <w:rFonts w:asciiTheme="minorHAnsi" w:hAnsiTheme="minorHAnsi" w:cstheme="minorHAnsi"/>
          <w:color w:val="auto"/>
          <w:sz w:val="22"/>
          <w:u w:val="none"/>
        </w:rPr>
        <w:t>; Dene/Kate 9/0/1</w:t>
      </w:r>
    </w:p>
    <w:p w:rsidR="006D7806" w:rsidRPr="00A525C3" w:rsidRDefault="00AF0964">
      <w:pPr>
        <w:pStyle w:val="NoSpacing"/>
        <w:rPr>
          <w:rFonts w:asciiTheme="minorHAnsi" w:hAnsiTheme="minorHAnsi" w:cstheme="minorHAnsi"/>
          <w:bCs/>
          <w:color w:val="00000A"/>
          <w:sz w:val="22"/>
          <w:lang w:val="en"/>
        </w:rPr>
      </w:pPr>
      <w:r w:rsidRPr="00A525C3">
        <w:rPr>
          <w:rFonts w:asciiTheme="minorHAnsi" w:hAnsiTheme="minorHAnsi" w:cstheme="minorHAnsi"/>
          <w:b/>
          <w:bCs/>
          <w:color w:val="00000A"/>
          <w:sz w:val="22"/>
          <w:u w:val="single"/>
          <w:lang w:val="en"/>
        </w:rPr>
        <w:t>Announcements</w:t>
      </w:r>
      <w:r w:rsidRPr="00A525C3">
        <w:rPr>
          <w:rFonts w:asciiTheme="minorHAnsi" w:hAnsiTheme="minorHAnsi" w:cstheme="minorHAnsi"/>
          <w:b/>
          <w:bCs/>
          <w:color w:val="00000A"/>
          <w:sz w:val="22"/>
          <w:lang w:val="en"/>
        </w:rPr>
        <w:t>:</w:t>
      </w:r>
      <w:r w:rsidRPr="00A525C3">
        <w:rPr>
          <w:rFonts w:asciiTheme="minorHAnsi" w:hAnsiTheme="minorHAnsi" w:cstheme="minorHAnsi"/>
          <w:bCs/>
          <w:color w:val="00000A"/>
          <w:sz w:val="22"/>
          <w:lang w:val="en"/>
        </w:rPr>
        <w:t xml:space="preserve"> </w:t>
      </w:r>
    </w:p>
    <w:p w:rsidR="00AF698B" w:rsidRPr="00A525C3" w:rsidRDefault="00AF698B" w:rsidP="00AF698B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</w:rPr>
      </w:pPr>
      <w:r w:rsidRPr="00A525C3">
        <w:rPr>
          <w:rFonts w:asciiTheme="minorHAnsi" w:hAnsiTheme="minorHAnsi" w:cstheme="minorHAnsi"/>
          <w:color w:val="auto"/>
          <w:sz w:val="22"/>
        </w:rPr>
        <w:t xml:space="preserve">Classes and webinars: see BetterInvesting Magazine ONLINE section opposite CONTENTS. Other investing educational sessions: Register on the BI web site for “Ticker Talk” and Stock-Up”. </w:t>
      </w:r>
    </w:p>
    <w:p w:rsidR="00AF698B" w:rsidRPr="00A525C3" w:rsidRDefault="00AF698B" w:rsidP="00AF698B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</w:rPr>
      </w:pPr>
      <w:r w:rsidRPr="00A525C3">
        <w:rPr>
          <w:rFonts w:asciiTheme="minorHAnsi" w:hAnsiTheme="minorHAnsi" w:cstheme="minorHAnsi"/>
          <w:color w:val="auto"/>
          <w:sz w:val="22"/>
        </w:rPr>
        <w:t>“The Roundtable” and “Turn Out Tuesday” occurs each month sponsored by BI Mid</w:t>
      </w:r>
      <w:r w:rsidR="003C14DF" w:rsidRPr="00A525C3">
        <w:rPr>
          <w:rFonts w:asciiTheme="minorHAnsi" w:hAnsiTheme="minorHAnsi" w:cstheme="minorHAnsi"/>
          <w:color w:val="auto"/>
          <w:sz w:val="22"/>
        </w:rPr>
        <w:t>-Michigan Chapter. Register for</w:t>
      </w:r>
      <w:r w:rsidRPr="00A525C3">
        <w:rPr>
          <w:rFonts w:asciiTheme="minorHAnsi" w:hAnsiTheme="minorHAnsi" w:cstheme="minorHAnsi"/>
          <w:color w:val="auto"/>
          <w:sz w:val="22"/>
        </w:rPr>
        <w:t xml:space="preserve"> both by contacting: </w:t>
      </w:r>
      <w:hyperlink r:id="rId8" w:history="1">
        <w:r w:rsidRPr="00A525C3">
          <w:rPr>
            <w:rStyle w:val="Hyperlink"/>
            <w:rFonts w:asciiTheme="minorHAnsi" w:hAnsiTheme="minorHAnsi" w:cstheme="minorHAnsi"/>
            <w:color w:val="auto"/>
            <w:sz w:val="22"/>
          </w:rPr>
          <w:t>nkavula1@comcast.net</w:t>
        </w:r>
      </w:hyperlink>
      <w:r w:rsidRPr="00A525C3">
        <w:rPr>
          <w:rFonts w:asciiTheme="minorHAnsi" w:hAnsiTheme="minorHAnsi" w:cstheme="minorHAnsi"/>
          <w:color w:val="auto"/>
          <w:sz w:val="22"/>
        </w:rPr>
        <w:t>.</w:t>
      </w:r>
    </w:p>
    <w:p w:rsidR="00CA45B0" w:rsidRPr="00A525C3" w:rsidRDefault="00AF698B" w:rsidP="008E5EAD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</w:rPr>
      </w:pPr>
      <w:proofErr w:type="spellStart"/>
      <w:r w:rsidRPr="00A525C3">
        <w:rPr>
          <w:rFonts w:asciiTheme="minorHAnsi" w:hAnsiTheme="minorHAnsi" w:cstheme="minorHAnsi"/>
          <w:color w:val="auto"/>
          <w:sz w:val="22"/>
        </w:rPr>
        <w:t>CinMIC</w:t>
      </w:r>
      <w:proofErr w:type="spellEnd"/>
      <w:r w:rsidRPr="00A525C3">
        <w:rPr>
          <w:rFonts w:asciiTheme="minorHAnsi" w:hAnsiTheme="minorHAnsi" w:cstheme="minorHAnsi"/>
          <w:color w:val="auto"/>
          <w:sz w:val="22"/>
        </w:rPr>
        <w:t xml:space="preserve"> portfolios on Manifest Investing: </w:t>
      </w:r>
      <w:hyperlink r:id="rId9" w:history="1">
        <w:proofErr w:type="spellStart"/>
        <w:r w:rsidRPr="00A525C3">
          <w:rPr>
            <w:rStyle w:val="Hyperlink"/>
            <w:rFonts w:asciiTheme="minorHAnsi" w:hAnsiTheme="minorHAnsi" w:cstheme="minorHAnsi"/>
            <w:sz w:val="22"/>
          </w:rPr>
          <w:t>CinMIC</w:t>
        </w:r>
        <w:proofErr w:type="spellEnd"/>
        <w:r w:rsidRPr="00A525C3">
          <w:rPr>
            <w:rStyle w:val="Hyperlink"/>
            <w:rFonts w:asciiTheme="minorHAnsi" w:hAnsiTheme="minorHAnsi" w:cstheme="minorHAnsi"/>
            <w:sz w:val="22"/>
          </w:rPr>
          <w:t xml:space="preserve"> Portfolio</w:t>
        </w:r>
      </w:hyperlink>
      <w:r w:rsidR="00904F61" w:rsidRPr="00A525C3">
        <w:rPr>
          <w:rStyle w:val="Hyperlink"/>
          <w:rFonts w:asciiTheme="minorHAnsi" w:hAnsiTheme="minorHAnsi" w:cstheme="minorHAnsi"/>
          <w:color w:val="auto"/>
          <w:sz w:val="22"/>
          <w:u w:val="none"/>
        </w:rPr>
        <w:t xml:space="preserve">, </w:t>
      </w:r>
      <w:hyperlink r:id="rId10" w:history="1">
        <w:r w:rsidRPr="00A525C3">
          <w:rPr>
            <w:rStyle w:val="Hyperlink"/>
            <w:rFonts w:asciiTheme="minorHAnsi" w:hAnsiTheme="minorHAnsi" w:cstheme="minorHAnsi"/>
            <w:sz w:val="22"/>
          </w:rPr>
          <w:t>Pounce List Companies</w:t>
        </w:r>
      </w:hyperlink>
      <w:r w:rsidRPr="00A525C3">
        <w:rPr>
          <w:rStyle w:val="Hyperlink"/>
          <w:rFonts w:asciiTheme="minorHAnsi" w:hAnsiTheme="minorHAnsi" w:cstheme="minorHAnsi"/>
          <w:sz w:val="22"/>
          <w:u w:val="none"/>
        </w:rPr>
        <w:t>,</w:t>
      </w:r>
      <w:r w:rsidRPr="00A525C3">
        <w:rPr>
          <w:rFonts w:asciiTheme="minorHAnsi" w:hAnsiTheme="minorHAnsi" w:cstheme="minorHAnsi"/>
          <w:sz w:val="22"/>
        </w:rPr>
        <w:t xml:space="preserve"> </w:t>
      </w:r>
      <w:hyperlink r:id="rId11" w:history="1">
        <w:r w:rsidRPr="00A525C3">
          <w:rPr>
            <w:rStyle w:val="Hyperlink"/>
            <w:rFonts w:asciiTheme="minorHAnsi" w:hAnsiTheme="minorHAnsi" w:cstheme="minorHAnsi"/>
            <w:sz w:val="22"/>
          </w:rPr>
          <w:t>Stocks to Study</w:t>
        </w:r>
      </w:hyperlink>
    </w:p>
    <w:p w:rsidR="00AF698B" w:rsidRPr="00A525C3" w:rsidRDefault="00AF698B" w:rsidP="00AF698B">
      <w:pPr>
        <w:pStyle w:val="NoSpacing"/>
        <w:ind w:left="360"/>
        <w:rPr>
          <w:rStyle w:val="Hyperlink"/>
          <w:rFonts w:asciiTheme="minorHAnsi" w:hAnsiTheme="minorHAnsi" w:cstheme="minorHAnsi"/>
          <w:color w:val="00000A"/>
          <w:sz w:val="22"/>
          <w:u w:val="none"/>
        </w:rPr>
      </w:pPr>
    </w:p>
    <w:p w:rsidR="006D7806" w:rsidRPr="00A525C3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A525C3">
        <w:rPr>
          <w:rFonts w:cstheme="minorHAnsi"/>
          <w:b/>
          <w:bCs/>
          <w:u w:val="single"/>
          <w:lang w:val="en"/>
        </w:rPr>
        <w:t>Old Business:</w:t>
      </w:r>
      <w:r w:rsidRPr="00A525C3">
        <w:rPr>
          <w:rFonts w:cstheme="minorHAnsi"/>
          <w:lang w:val="en"/>
        </w:rPr>
        <w:t xml:space="preserve"> </w:t>
      </w:r>
    </w:p>
    <w:p w:rsidR="00E6393B" w:rsidRPr="00A525C3" w:rsidRDefault="00941D89" w:rsidP="00941D89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cstheme="minorHAnsi"/>
          <w:b/>
          <w:bCs/>
          <w:u w:val="single"/>
          <w:lang w:val="en"/>
        </w:rPr>
      </w:pPr>
      <w:r w:rsidRPr="00A525C3">
        <w:rPr>
          <w:rFonts w:cstheme="minorHAnsi"/>
        </w:rPr>
        <w:t xml:space="preserve">Partnership Agreement and Bylaws documents </w:t>
      </w:r>
      <w:r w:rsidR="002A25C8">
        <w:rPr>
          <w:rFonts w:cstheme="minorHAnsi"/>
        </w:rPr>
        <w:t xml:space="preserve">now </w:t>
      </w:r>
      <w:r w:rsidRPr="00A525C3">
        <w:rPr>
          <w:rFonts w:cstheme="minorHAnsi"/>
        </w:rPr>
        <w:t xml:space="preserve">in </w:t>
      </w:r>
      <w:proofErr w:type="spellStart"/>
      <w:r w:rsidRPr="00A525C3">
        <w:rPr>
          <w:rFonts w:cstheme="minorHAnsi"/>
        </w:rPr>
        <w:t>bivio</w:t>
      </w:r>
      <w:proofErr w:type="spellEnd"/>
    </w:p>
    <w:p w:rsidR="00F70414" w:rsidRPr="00A525C3" w:rsidRDefault="00F70414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6D7806" w:rsidRPr="00A525C3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A525C3">
        <w:rPr>
          <w:rFonts w:cstheme="minorHAnsi"/>
          <w:b/>
          <w:bCs/>
          <w:u w:val="single"/>
          <w:lang w:val="en"/>
        </w:rPr>
        <w:t>New Business:</w:t>
      </w:r>
      <w:r w:rsidRPr="00A525C3">
        <w:rPr>
          <w:rFonts w:cstheme="minorHAnsi"/>
          <w:lang w:val="en"/>
        </w:rPr>
        <w:t xml:space="preserve"> </w:t>
      </w:r>
    </w:p>
    <w:p w:rsidR="00941D89" w:rsidRPr="002A25C8" w:rsidRDefault="002A25C8" w:rsidP="002A25C8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</w:rPr>
      </w:pPr>
      <w:r w:rsidRPr="00A525C3">
        <w:rPr>
          <w:rFonts w:asciiTheme="minorHAnsi" w:hAnsiTheme="minorHAnsi" w:cstheme="minorHAnsi"/>
          <w:color w:val="auto"/>
          <w:sz w:val="22"/>
        </w:rPr>
        <w:t>Eugene Burnett</w:t>
      </w:r>
      <w:r>
        <w:rPr>
          <w:rFonts w:asciiTheme="minorHAnsi" w:hAnsiTheme="minorHAnsi" w:cstheme="minorHAnsi"/>
          <w:color w:val="auto"/>
          <w:sz w:val="22"/>
        </w:rPr>
        <w:t xml:space="preserve"> and </w:t>
      </w:r>
      <w:r w:rsidR="00941D89" w:rsidRPr="002A25C8">
        <w:rPr>
          <w:rFonts w:asciiTheme="minorHAnsi" w:hAnsiTheme="minorHAnsi" w:cstheme="minorHAnsi"/>
          <w:color w:val="auto"/>
          <w:sz w:val="22"/>
        </w:rPr>
        <w:t>Belinda Wenzel membership intent</w:t>
      </w:r>
    </w:p>
    <w:p w:rsidR="00CA4D9C" w:rsidRPr="00A525C3" w:rsidRDefault="00941D89" w:rsidP="00941D89">
      <w:pPr>
        <w:pStyle w:val="ListParagraph"/>
        <w:widowControl w:val="0"/>
        <w:numPr>
          <w:ilvl w:val="0"/>
          <w:numId w:val="11"/>
        </w:numPr>
        <w:tabs>
          <w:tab w:val="left" w:pos="994"/>
        </w:tabs>
        <w:spacing w:after="0" w:line="240" w:lineRule="auto"/>
        <w:rPr>
          <w:rFonts w:cstheme="minorHAnsi"/>
          <w:b/>
          <w:bCs/>
          <w:lang w:val="en"/>
        </w:rPr>
      </w:pPr>
      <w:r w:rsidRPr="00A525C3">
        <w:rPr>
          <w:rFonts w:cstheme="minorHAnsi"/>
        </w:rPr>
        <w:t xml:space="preserve">Group study and presentation schedule </w:t>
      </w:r>
      <w:r w:rsidR="00F70414" w:rsidRPr="00A525C3">
        <w:rPr>
          <w:rFonts w:cstheme="minorHAnsi"/>
        </w:rPr>
        <w:t>–</w:t>
      </w:r>
      <w:r w:rsidRPr="00A525C3">
        <w:rPr>
          <w:rFonts w:cstheme="minorHAnsi"/>
        </w:rPr>
        <w:t xml:space="preserve"> Bill</w:t>
      </w:r>
      <w:r w:rsidR="00F70414" w:rsidRPr="00A525C3">
        <w:rPr>
          <w:rFonts w:cstheme="minorHAnsi"/>
        </w:rPr>
        <w:t xml:space="preserve"> presented the new 2020 list of presenters and modified it as new members were taken into account</w:t>
      </w:r>
    </w:p>
    <w:p w:rsidR="00904F61" w:rsidRPr="00A525C3" w:rsidRDefault="00904F61">
      <w:pPr>
        <w:spacing w:after="0" w:line="240" w:lineRule="auto"/>
        <w:rPr>
          <w:rFonts w:cstheme="minorHAnsi"/>
          <w:b/>
          <w:bCs/>
          <w:lang w:val="en"/>
        </w:rPr>
      </w:pPr>
    </w:p>
    <w:p w:rsidR="00F70414" w:rsidRPr="00A525C3" w:rsidRDefault="00F70414" w:rsidP="00F70414">
      <w:pPr>
        <w:widowControl w:val="0"/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 w:rsidRPr="00A525C3">
        <w:rPr>
          <w:rStyle w:val="Hyperlink"/>
          <w:rFonts w:cstheme="minorHAnsi"/>
          <w:b/>
          <w:bCs/>
          <w:color w:val="auto"/>
          <w:u w:val="none"/>
          <w:lang w:val="en"/>
        </w:rPr>
        <w:t>Education:</w:t>
      </w:r>
      <w:r w:rsidRPr="00A525C3">
        <w:rPr>
          <w:rStyle w:val="Hyperlink"/>
          <w:rFonts w:cstheme="minorHAnsi"/>
          <w:bCs/>
          <w:color w:val="auto"/>
          <w:u w:val="none"/>
          <w:lang w:val="en"/>
        </w:rPr>
        <w:t xml:space="preserve"> Gregg: A Criteria for When to Sell a Stock</w:t>
      </w:r>
    </w:p>
    <w:p w:rsidR="00F70414" w:rsidRDefault="00C05B75" w:rsidP="00193B01">
      <w:pPr>
        <w:pStyle w:val="ListParagraph"/>
        <w:widowControl w:val="0"/>
        <w:numPr>
          <w:ilvl w:val="0"/>
          <w:numId w:val="41"/>
        </w:numPr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>
        <w:rPr>
          <w:rStyle w:val="Hyperlink"/>
          <w:rFonts w:cstheme="minorHAnsi"/>
          <w:bCs/>
          <w:color w:val="auto"/>
          <w:u w:val="none"/>
          <w:lang w:val="en"/>
        </w:rPr>
        <w:t>Gregg</w:t>
      </w:r>
      <w:r w:rsidR="002A25C8">
        <w:rPr>
          <w:rStyle w:val="Hyperlink"/>
          <w:rFonts w:cstheme="minorHAnsi"/>
          <w:bCs/>
          <w:color w:val="auto"/>
          <w:u w:val="none"/>
          <w:lang w:val="en"/>
        </w:rPr>
        <w:t xml:space="preserve"> noted</w:t>
      </w:r>
      <w:r w:rsidR="00193B01">
        <w:rPr>
          <w:rStyle w:val="Hyperlink"/>
          <w:rFonts w:cstheme="minorHAnsi"/>
          <w:bCs/>
          <w:color w:val="auto"/>
          <w:u w:val="none"/>
          <w:lang w:val="en"/>
        </w:rPr>
        <w:t xml:space="preserve"> that this is a frequent topic for BI</w:t>
      </w:r>
      <w:r>
        <w:rPr>
          <w:rStyle w:val="Hyperlink"/>
          <w:rFonts w:cstheme="minorHAnsi"/>
          <w:bCs/>
          <w:color w:val="auto"/>
          <w:u w:val="none"/>
          <w:lang w:val="en"/>
        </w:rPr>
        <w:t xml:space="preserve"> presentations and</w:t>
      </w:r>
      <w:r w:rsidR="00193B01">
        <w:rPr>
          <w:rStyle w:val="Hyperlink"/>
          <w:rFonts w:cstheme="minorHAnsi"/>
          <w:bCs/>
          <w:color w:val="auto"/>
          <w:u w:val="none"/>
          <w:lang w:val="en"/>
        </w:rPr>
        <w:t xml:space="preserve"> had been presented at </w:t>
      </w:r>
      <w:proofErr w:type="spellStart"/>
      <w:r w:rsidR="00193B01">
        <w:rPr>
          <w:rStyle w:val="Hyperlink"/>
          <w:rFonts w:cstheme="minorHAnsi"/>
          <w:bCs/>
          <w:color w:val="auto"/>
          <w:u w:val="none"/>
          <w:lang w:val="en"/>
        </w:rPr>
        <w:t>CinMIC</w:t>
      </w:r>
      <w:proofErr w:type="spellEnd"/>
      <w:r w:rsidR="002A25C8">
        <w:rPr>
          <w:rStyle w:val="Hyperlink"/>
          <w:rFonts w:cstheme="minorHAnsi"/>
          <w:bCs/>
          <w:color w:val="auto"/>
          <w:u w:val="none"/>
          <w:lang w:val="en"/>
        </w:rPr>
        <w:t xml:space="preserve"> recently</w:t>
      </w:r>
    </w:p>
    <w:p w:rsidR="00193B01" w:rsidRDefault="00193B01" w:rsidP="00193B01">
      <w:pPr>
        <w:pStyle w:val="ListParagraph"/>
        <w:widowControl w:val="0"/>
        <w:numPr>
          <w:ilvl w:val="0"/>
          <w:numId w:val="41"/>
        </w:numPr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>
        <w:rPr>
          <w:rStyle w:val="Hyperlink"/>
          <w:rFonts w:cstheme="minorHAnsi"/>
          <w:bCs/>
          <w:color w:val="auto"/>
          <w:u w:val="none"/>
          <w:lang w:val="en"/>
        </w:rPr>
        <w:t>The SSG can be used to take emotion out of selling decisions – don’t fall in love with your stock</w:t>
      </w:r>
    </w:p>
    <w:p w:rsidR="00193B01" w:rsidRDefault="00193B01" w:rsidP="00193B01">
      <w:pPr>
        <w:pStyle w:val="ListParagraph"/>
        <w:widowControl w:val="0"/>
        <w:numPr>
          <w:ilvl w:val="0"/>
          <w:numId w:val="41"/>
        </w:numPr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>
        <w:rPr>
          <w:rStyle w:val="Hyperlink"/>
          <w:rFonts w:cstheme="minorHAnsi"/>
          <w:bCs/>
          <w:color w:val="auto"/>
          <w:u w:val="none"/>
          <w:lang w:val="en"/>
        </w:rPr>
        <w:t>Three reasons to sell: you need the money, the fundamentals have deteriorated or there is bad news, you can make the portfolio better or rebalance it</w:t>
      </w:r>
    </w:p>
    <w:p w:rsidR="00193B01" w:rsidRDefault="00193B01" w:rsidP="00193B01">
      <w:pPr>
        <w:pStyle w:val="ListParagraph"/>
        <w:widowControl w:val="0"/>
        <w:numPr>
          <w:ilvl w:val="0"/>
          <w:numId w:val="41"/>
        </w:numPr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>
        <w:rPr>
          <w:rStyle w:val="Hyperlink"/>
          <w:rFonts w:cstheme="minorHAnsi"/>
          <w:bCs/>
          <w:color w:val="auto"/>
          <w:u w:val="none"/>
          <w:lang w:val="en"/>
        </w:rPr>
        <w:t>Don’t let taxes be the basis for a selling decision</w:t>
      </w:r>
    </w:p>
    <w:p w:rsidR="00193B01" w:rsidRDefault="00193B01" w:rsidP="00193B01">
      <w:pPr>
        <w:pStyle w:val="ListParagraph"/>
        <w:widowControl w:val="0"/>
        <w:numPr>
          <w:ilvl w:val="0"/>
          <w:numId w:val="41"/>
        </w:numPr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>
        <w:rPr>
          <w:rStyle w:val="Hyperlink"/>
          <w:rFonts w:cstheme="minorHAnsi"/>
          <w:bCs/>
          <w:color w:val="auto"/>
          <w:u w:val="none"/>
          <w:lang w:val="en"/>
        </w:rPr>
        <w:t>BI Magazine Repair Shop (IAS) has some good tips on selling strategies</w:t>
      </w:r>
    </w:p>
    <w:p w:rsidR="00193B01" w:rsidRDefault="00193B01" w:rsidP="00193B01">
      <w:pPr>
        <w:pStyle w:val="ListParagraph"/>
        <w:widowControl w:val="0"/>
        <w:numPr>
          <w:ilvl w:val="0"/>
          <w:numId w:val="41"/>
        </w:numPr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>
        <w:rPr>
          <w:rStyle w:val="Hyperlink"/>
          <w:rFonts w:cstheme="minorHAnsi"/>
          <w:bCs/>
          <w:color w:val="auto"/>
          <w:u w:val="none"/>
          <w:lang w:val="en"/>
        </w:rPr>
        <w:lastRenderedPageBreak/>
        <w:t>Don’t sell because the price hasn’t changed or there has been a paper profit or loss</w:t>
      </w:r>
    </w:p>
    <w:p w:rsidR="00193B01" w:rsidRPr="00193B01" w:rsidRDefault="00193B01" w:rsidP="00193B01">
      <w:pPr>
        <w:pStyle w:val="ListParagraph"/>
        <w:widowControl w:val="0"/>
        <w:numPr>
          <w:ilvl w:val="0"/>
          <w:numId w:val="41"/>
        </w:numPr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>
        <w:rPr>
          <w:rStyle w:val="Hyperlink"/>
          <w:rFonts w:cstheme="minorHAnsi"/>
          <w:bCs/>
          <w:color w:val="auto"/>
          <w:u w:val="none"/>
          <w:lang w:val="en"/>
        </w:rPr>
        <w:t>Don’t sell on temporary bad news or as a result of algorithmic trading</w:t>
      </w:r>
    </w:p>
    <w:p w:rsidR="00F70414" w:rsidRPr="00A525C3" w:rsidRDefault="00F70414" w:rsidP="00F70414">
      <w:pPr>
        <w:widowControl w:val="0"/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</w:p>
    <w:p w:rsidR="00941D89" w:rsidRPr="00A525C3" w:rsidRDefault="00AF0964" w:rsidP="00941D89">
      <w:pPr>
        <w:widowControl w:val="0"/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 w:rsidRPr="00A525C3">
        <w:rPr>
          <w:rFonts w:cstheme="minorHAnsi"/>
          <w:b/>
          <w:bCs/>
          <w:lang w:val="en"/>
        </w:rPr>
        <w:t xml:space="preserve">Stock </w:t>
      </w:r>
      <w:r w:rsidR="00941D89" w:rsidRPr="00A525C3">
        <w:rPr>
          <w:rFonts w:cstheme="minorHAnsi"/>
          <w:b/>
          <w:bCs/>
          <w:lang w:val="en"/>
        </w:rPr>
        <w:t>Study</w:t>
      </w:r>
      <w:r w:rsidRPr="00A525C3">
        <w:rPr>
          <w:rFonts w:cstheme="minorHAnsi"/>
          <w:b/>
          <w:bCs/>
          <w:lang w:val="en"/>
        </w:rPr>
        <w:t>:</w:t>
      </w:r>
      <w:r w:rsidRPr="00A525C3">
        <w:rPr>
          <w:rFonts w:cstheme="minorHAnsi"/>
          <w:bCs/>
          <w:lang w:val="en"/>
        </w:rPr>
        <w:t xml:space="preserve"> </w:t>
      </w:r>
      <w:r w:rsidR="00941D89" w:rsidRPr="00A525C3">
        <w:rPr>
          <w:rFonts w:cstheme="minorHAnsi"/>
          <w:bCs/>
          <w:lang w:val="en"/>
        </w:rPr>
        <w:t>C</w:t>
      </w:r>
      <w:r w:rsidR="00941D89" w:rsidRPr="00A525C3">
        <w:rPr>
          <w:rStyle w:val="Hyperlink"/>
          <w:rFonts w:cstheme="minorHAnsi"/>
          <w:bCs/>
          <w:color w:val="auto"/>
          <w:u w:val="none"/>
          <w:lang w:val="en"/>
        </w:rPr>
        <w:t xml:space="preserve">heryl: </w:t>
      </w:r>
      <w:proofErr w:type="spellStart"/>
      <w:r w:rsidR="00941D89" w:rsidRPr="00A525C3">
        <w:rPr>
          <w:rStyle w:val="Hyperlink"/>
          <w:rFonts w:cstheme="minorHAnsi"/>
          <w:bCs/>
          <w:color w:val="auto"/>
          <w:u w:val="none"/>
          <w:lang w:val="en"/>
        </w:rPr>
        <w:t>Essent</w:t>
      </w:r>
      <w:proofErr w:type="spellEnd"/>
      <w:r w:rsidR="00941D89" w:rsidRPr="00A525C3">
        <w:rPr>
          <w:rStyle w:val="Hyperlink"/>
          <w:rFonts w:cstheme="minorHAnsi"/>
          <w:bCs/>
          <w:color w:val="auto"/>
          <w:u w:val="none"/>
          <w:lang w:val="en"/>
        </w:rPr>
        <w:t xml:space="preserve"> (</w:t>
      </w:r>
      <w:r w:rsidR="00193B01">
        <w:rPr>
          <w:rStyle w:val="Hyperlink"/>
          <w:rFonts w:cstheme="minorHAnsi"/>
          <w:bCs/>
          <w:color w:val="auto"/>
          <w:u w:val="none"/>
          <w:lang w:val="en"/>
        </w:rPr>
        <w:t>ESNT)</w:t>
      </w:r>
    </w:p>
    <w:p w:rsidR="00941D89" w:rsidRDefault="00193B01" w:rsidP="00941D89">
      <w:pPr>
        <w:pStyle w:val="ListParagraph"/>
        <w:widowControl w:val="0"/>
        <w:numPr>
          <w:ilvl w:val="0"/>
          <w:numId w:val="40"/>
        </w:numPr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>
        <w:rPr>
          <w:rStyle w:val="Hyperlink"/>
          <w:rFonts w:cstheme="minorHAnsi"/>
          <w:bCs/>
          <w:color w:val="auto"/>
          <w:u w:val="none"/>
          <w:lang w:val="en"/>
        </w:rPr>
        <w:t>Financials/Specialty Finance</w:t>
      </w:r>
    </w:p>
    <w:p w:rsidR="00C05B75" w:rsidRDefault="00C05B75" w:rsidP="00941D89">
      <w:pPr>
        <w:pStyle w:val="ListParagraph"/>
        <w:widowControl w:val="0"/>
        <w:numPr>
          <w:ilvl w:val="0"/>
          <w:numId w:val="40"/>
        </w:numPr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>
        <w:rPr>
          <w:rStyle w:val="Hyperlink"/>
          <w:rFonts w:cstheme="minorHAnsi"/>
          <w:bCs/>
          <w:color w:val="auto"/>
          <w:u w:val="none"/>
          <w:lang w:val="en"/>
        </w:rPr>
        <w:t>Private mortgage insurance provides credit protection for lenders and investors should the borrower default</w:t>
      </w:r>
    </w:p>
    <w:p w:rsidR="00C05B75" w:rsidRDefault="00C05B75" w:rsidP="00941D89">
      <w:pPr>
        <w:pStyle w:val="ListParagraph"/>
        <w:widowControl w:val="0"/>
        <w:numPr>
          <w:ilvl w:val="0"/>
          <w:numId w:val="40"/>
        </w:numPr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>
        <w:rPr>
          <w:rStyle w:val="Hyperlink"/>
          <w:rFonts w:cstheme="minorHAnsi"/>
          <w:bCs/>
          <w:color w:val="auto"/>
          <w:u w:val="none"/>
          <w:lang w:val="en"/>
        </w:rPr>
        <w:t>Bermuda domicile, three ops centers in US, diversified services across the US</w:t>
      </w:r>
    </w:p>
    <w:p w:rsidR="00C05B75" w:rsidRDefault="00C05B75" w:rsidP="00941D89">
      <w:pPr>
        <w:pStyle w:val="ListParagraph"/>
        <w:widowControl w:val="0"/>
        <w:numPr>
          <w:ilvl w:val="0"/>
          <w:numId w:val="40"/>
        </w:numPr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>
        <w:rPr>
          <w:rStyle w:val="Hyperlink"/>
          <w:rFonts w:cstheme="minorHAnsi"/>
          <w:bCs/>
          <w:color w:val="auto"/>
          <w:u w:val="none"/>
          <w:lang w:val="en"/>
        </w:rPr>
        <w:t>Highly rated by all insurance rating services</w:t>
      </w:r>
    </w:p>
    <w:p w:rsidR="00C05B75" w:rsidRDefault="00C05B75" w:rsidP="00941D89">
      <w:pPr>
        <w:pStyle w:val="ListParagraph"/>
        <w:widowControl w:val="0"/>
        <w:numPr>
          <w:ilvl w:val="0"/>
          <w:numId w:val="40"/>
        </w:numPr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>
        <w:rPr>
          <w:rStyle w:val="Hyperlink"/>
          <w:rFonts w:cstheme="minorHAnsi"/>
          <w:bCs/>
          <w:color w:val="auto"/>
          <w:u w:val="none"/>
          <w:lang w:val="en"/>
        </w:rPr>
        <w:t>Offers reinsurance services to spread risk</w:t>
      </w:r>
    </w:p>
    <w:p w:rsidR="00941D89" w:rsidRDefault="00C05B75" w:rsidP="003239E7">
      <w:pPr>
        <w:pStyle w:val="ListParagraph"/>
        <w:widowControl w:val="0"/>
        <w:numPr>
          <w:ilvl w:val="0"/>
          <w:numId w:val="40"/>
        </w:numPr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proofErr w:type="spellStart"/>
      <w:r w:rsidRPr="00C05B75">
        <w:rPr>
          <w:rStyle w:val="Hyperlink"/>
          <w:rFonts w:cstheme="minorHAnsi"/>
          <w:bCs/>
          <w:color w:val="auto"/>
          <w:u w:val="none"/>
          <w:lang w:val="en"/>
        </w:rPr>
        <w:t>DayMIC</w:t>
      </w:r>
      <w:proofErr w:type="spellEnd"/>
      <w:r w:rsidRPr="00C05B75">
        <w:rPr>
          <w:rStyle w:val="Hyperlink"/>
          <w:rFonts w:cstheme="minorHAnsi"/>
          <w:bCs/>
          <w:color w:val="auto"/>
          <w:u w:val="none"/>
          <w:lang w:val="en"/>
        </w:rPr>
        <w:t>, Marty’s Jan 17, 2020 First Cut and Zack’s stock screener of Jan 8, 2020 all reviewed ESNT</w:t>
      </w:r>
    </w:p>
    <w:p w:rsidR="002A25C8" w:rsidRPr="00C05B75" w:rsidRDefault="002A25C8" w:rsidP="003239E7">
      <w:pPr>
        <w:pStyle w:val="ListParagraph"/>
        <w:widowControl w:val="0"/>
        <w:numPr>
          <w:ilvl w:val="0"/>
          <w:numId w:val="40"/>
        </w:numPr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>
        <w:rPr>
          <w:rStyle w:val="Hyperlink"/>
          <w:rFonts w:cstheme="minorHAnsi"/>
          <w:bCs/>
          <w:color w:val="auto"/>
          <w:u w:val="none"/>
          <w:lang w:val="en"/>
        </w:rPr>
        <w:t>SSG showed a BUY</w:t>
      </w:r>
      <w:r w:rsidR="00277486">
        <w:rPr>
          <w:rStyle w:val="Hyperlink"/>
          <w:rFonts w:cstheme="minorHAnsi"/>
          <w:bCs/>
          <w:color w:val="auto"/>
          <w:u w:val="none"/>
          <w:lang w:val="en"/>
        </w:rPr>
        <w:t xml:space="preserve"> with 3.6 u/d ratio and 13.0% return</w:t>
      </w:r>
    </w:p>
    <w:p w:rsidR="00941D89" w:rsidRPr="00A525C3" w:rsidRDefault="00941D89" w:rsidP="00941D89">
      <w:pPr>
        <w:widowControl w:val="0"/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</w:p>
    <w:p w:rsidR="006D7806" w:rsidRPr="00A525C3" w:rsidRDefault="00AF0964">
      <w:pPr>
        <w:spacing w:after="0" w:line="240" w:lineRule="auto"/>
        <w:rPr>
          <w:rFonts w:cstheme="minorHAnsi"/>
        </w:rPr>
      </w:pPr>
      <w:r w:rsidRPr="00A525C3">
        <w:rPr>
          <w:rFonts w:cstheme="minorHAnsi"/>
          <w:b/>
          <w:u w:val="single"/>
        </w:rPr>
        <w:t>Portfolio Report</w:t>
      </w:r>
      <w:r w:rsidRPr="00A525C3">
        <w:rPr>
          <w:rFonts w:cstheme="minorHAnsi"/>
        </w:rPr>
        <w:t>:</w:t>
      </w:r>
      <w:r w:rsidR="00F70414" w:rsidRPr="00A525C3">
        <w:rPr>
          <w:rFonts w:cstheme="minorHAnsi"/>
        </w:rPr>
        <w:t xml:space="preserve"> Marty briefly reviewed the Jan report and noted stocks that were potential buys</w:t>
      </w:r>
    </w:p>
    <w:p w:rsidR="00941D89" w:rsidRPr="00A525C3" w:rsidRDefault="00941D89">
      <w:pPr>
        <w:spacing w:after="0" w:line="240" w:lineRule="auto"/>
        <w:rPr>
          <w:rFonts w:eastAsia="Times New Roman" w:cstheme="minorHAnsi"/>
          <w:b/>
          <w:u w:val="single"/>
        </w:rPr>
      </w:pPr>
    </w:p>
    <w:p w:rsidR="00193B01" w:rsidRDefault="00AF0964" w:rsidP="00193B01">
      <w:pPr>
        <w:spacing w:after="0" w:line="240" w:lineRule="auto"/>
        <w:rPr>
          <w:rFonts w:eastAsia="Times New Roman" w:cstheme="minorHAnsi"/>
        </w:rPr>
      </w:pPr>
      <w:r w:rsidRPr="00A525C3">
        <w:rPr>
          <w:rFonts w:eastAsia="Times New Roman" w:cstheme="minorHAnsi"/>
          <w:b/>
          <w:u w:val="single"/>
        </w:rPr>
        <w:t>R</w:t>
      </w:r>
      <w:r w:rsidR="00CF7F62" w:rsidRPr="00A525C3">
        <w:rPr>
          <w:rFonts w:eastAsia="Times New Roman" w:cstheme="minorHAnsi"/>
          <w:b/>
          <w:u w:val="single"/>
        </w:rPr>
        <w:t>eview and Reflectio</w:t>
      </w:r>
      <w:r w:rsidRPr="00A525C3">
        <w:rPr>
          <w:rFonts w:eastAsia="Times New Roman" w:cstheme="minorHAnsi"/>
          <w:b/>
          <w:u w:val="single"/>
        </w:rPr>
        <w:t>n:</w:t>
      </w:r>
      <w:r w:rsidRPr="00A525C3">
        <w:rPr>
          <w:rFonts w:eastAsia="Times New Roman" w:cstheme="minorHAnsi"/>
          <w:u w:val="single"/>
        </w:rPr>
        <w:t xml:space="preserve"> </w:t>
      </w:r>
      <w:r w:rsidR="008E1904" w:rsidRPr="00A525C3">
        <w:rPr>
          <w:rFonts w:eastAsia="Times New Roman" w:cstheme="minorHAnsi"/>
        </w:rPr>
        <w:t>Craig</w:t>
      </w:r>
      <w:r w:rsidR="00941D89" w:rsidRPr="00A525C3">
        <w:rPr>
          <w:rFonts w:eastAsia="Times New Roman" w:cstheme="minorHAnsi"/>
        </w:rPr>
        <w:t>:</w:t>
      </w:r>
      <w:r w:rsidR="00F70414" w:rsidRPr="00A525C3">
        <w:rPr>
          <w:rFonts w:eastAsia="Times New Roman" w:cstheme="minorHAnsi"/>
        </w:rPr>
        <w:t xml:space="preserve"> </w:t>
      </w:r>
      <w:r w:rsidR="00941D89" w:rsidRPr="00A525C3">
        <w:rPr>
          <w:rFonts w:eastAsia="Times New Roman" w:cstheme="minorHAnsi"/>
        </w:rPr>
        <w:t>Health Care Fund comparison</w:t>
      </w:r>
      <w:r w:rsidR="00F70414" w:rsidRPr="00A525C3">
        <w:rPr>
          <w:rFonts w:eastAsia="Times New Roman" w:cstheme="minorHAnsi"/>
        </w:rPr>
        <w:t xml:space="preserve"> and analysis</w:t>
      </w:r>
    </w:p>
    <w:p w:rsidR="00941D89" w:rsidRPr="00193B01" w:rsidRDefault="00193B01" w:rsidP="00193B01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b/>
        </w:rPr>
      </w:pPr>
      <w:r>
        <w:rPr>
          <w:rFonts w:eastAsia="Times New Roman" w:cstheme="minorHAnsi"/>
        </w:rPr>
        <w:t>Craig</w:t>
      </w:r>
      <w:r w:rsidR="00F70414" w:rsidRPr="00193B01">
        <w:rPr>
          <w:rFonts w:eastAsia="Times New Roman" w:cstheme="minorHAnsi"/>
        </w:rPr>
        <w:t xml:space="preserve"> analyzed FSPHX, VGHCX, VGHAX, PRHSX, FBIOX, XLV (all managed healthcare funds), and VHT, our current index fund. </w:t>
      </w:r>
      <w:r w:rsidR="007D7599" w:rsidRPr="00193B01">
        <w:rPr>
          <w:rFonts w:eastAsia="Times New Roman" w:cstheme="minorHAnsi"/>
        </w:rPr>
        <w:t xml:space="preserve">He narrowed the field to FSPHX, PRHSX and VHT, noting that </w:t>
      </w:r>
      <w:r w:rsidRPr="00193B01">
        <w:rPr>
          <w:rFonts w:eastAsia="Times New Roman" w:cstheme="minorHAnsi"/>
        </w:rPr>
        <w:t>although they had management fees</w:t>
      </w:r>
      <w:r w:rsidR="007D7599" w:rsidRPr="00193B01">
        <w:rPr>
          <w:rFonts w:eastAsia="Times New Roman" w:cstheme="minorHAnsi"/>
        </w:rPr>
        <w:t>, FSPHX and PRHSX performed better than VHT. We have a small position in VHT but no action was taken to move the investment to one of the other funds.</w:t>
      </w:r>
    </w:p>
    <w:p w:rsidR="00941D89" w:rsidRPr="00A525C3" w:rsidRDefault="00941D89" w:rsidP="007D7599">
      <w:pPr>
        <w:spacing w:after="0" w:line="240" w:lineRule="auto"/>
        <w:rPr>
          <w:rFonts w:cstheme="minorHAnsi"/>
          <w:b/>
        </w:rPr>
      </w:pPr>
    </w:p>
    <w:p w:rsidR="002C4DEE" w:rsidRPr="00A525C3" w:rsidRDefault="002C4DEE" w:rsidP="002C4DEE">
      <w:pPr>
        <w:widowControl w:val="0"/>
        <w:spacing w:after="0" w:line="240" w:lineRule="auto"/>
        <w:rPr>
          <w:rFonts w:cstheme="minorHAnsi"/>
          <w:bCs/>
          <w:lang w:val="en"/>
        </w:rPr>
      </w:pPr>
      <w:r w:rsidRPr="00A525C3">
        <w:rPr>
          <w:rFonts w:cstheme="minorHAnsi"/>
          <w:b/>
          <w:bCs/>
          <w:u w:val="single"/>
          <w:lang w:val="en"/>
        </w:rPr>
        <w:t>Buy/Sell Decisions:</w:t>
      </w:r>
      <w:r w:rsidRPr="00A525C3">
        <w:rPr>
          <w:rFonts w:cstheme="minorHAnsi"/>
          <w:b/>
          <w:bCs/>
          <w:lang w:val="en"/>
        </w:rPr>
        <w:t xml:space="preserve"> </w:t>
      </w:r>
      <w:r w:rsidRPr="00A525C3">
        <w:rPr>
          <w:rFonts w:cstheme="minorHAnsi"/>
          <w:bCs/>
          <w:lang w:val="en"/>
        </w:rPr>
        <w:t>(motion/second: action, type, yes/no/abstain)</w:t>
      </w:r>
    </w:p>
    <w:p w:rsidR="008E1904" w:rsidRPr="00A525C3" w:rsidRDefault="007D7599" w:rsidP="007D7599">
      <w:pPr>
        <w:pStyle w:val="ListParagraph"/>
        <w:widowControl w:val="0"/>
        <w:numPr>
          <w:ilvl w:val="0"/>
          <w:numId w:val="40"/>
        </w:numPr>
        <w:tabs>
          <w:tab w:val="left" w:pos="90"/>
        </w:tabs>
        <w:spacing w:after="0" w:line="240" w:lineRule="auto"/>
        <w:rPr>
          <w:rFonts w:cstheme="minorHAnsi"/>
          <w:bCs/>
          <w:lang w:val="en"/>
        </w:rPr>
      </w:pPr>
      <w:r w:rsidRPr="00A525C3">
        <w:rPr>
          <w:rFonts w:cstheme="minorHAnsi"/>
          <w:bCs/>
          <w:lang w:val="en"/>
        </w:rPr>
        <w:t>Jackie/Dene: sell 15sh of AAPL @window, 10/4/0</w:t>
      </w:r>
    </w:p>
    <w:p w:rsidR="007D7599" w:rsidRPr="00A525C3" w:rsidRDefault="007D7599" w:rsidP="007D7599">
      <w:pPr>
        <w:pStyle w:val="ListParagraph"/>
        <w:widowControl w:val="0"/>
        <w:numPr>
          <w:ilvl w:val="0"/>
          <w:numId w:val="40"/>
        </w:numPr>
        <w:tabs>
          <w:tab w:val="left" w:pos="90"/>
        </w:tabs>
        <w:spacing w:after="0" w:line="240" w:lineRule="auto"/>
        <w:rPr>
          <w:rFonts w:cstheme="minorHAnsi"/>
          <w:bCs/>
          <w:lang w:val="en"/>
        </w:rPr>
      </w:pPr>
      <w:r w:rsidRPr="00A525C3">
        <w:rPr>
          <w:rFonts w:cstheme="minorHAnsi"/>
          <w:bCs/>
          <w:lang w:val="en"/>
        </w:rPr>
        <w:t>Dene/Craig: sell all of BTSC @window, 13/0/1</w:t>
      </w:r>
    </w:p>
    <w:p w:rsidR="00941D89" w:rsidRPr="00A525C3" w:rsidRDefault="007D7599" w:rsidP="00E95C37">
      <w:pPr>
        <w:pStyle w:val="ListParagraph"/>
        <w:widowControl w:val="0"/>
        <w:numPr>
          <w:ilvl w:val="0"/>
          <w:numId w:val="40"/>
        </w:numPr>
        <w:tabs>
          <w:tab w:val="left" w:pos="90"/>
        </w:tabs>
        <w:spacing w:after="0" w:line="240" w:lineRule="auto"/>
        <w:rPr>
          <w:rFonts w:cstheme="minorHAnsi"/>
          <w:bCs/>
          <w:lang w:val="en"/>
        </w:rPr>
      </w:pPr>
      <w:r w:rsidRPr="00A525C3">
        <w:rPr>
          <w:rFonts w:cstheme="minorHAnsi"/>
          <w:bCs/>
          <w:lang w:val="en"/>
        </w:rPr>
        <w:t>Craig/Marty: buy 30sh of SCHW @window, 14/0/0</w:t>
      </w:r>
    </w:p>
    <w:p w:rsidR="007D7599" w:rsidRPr="00A525C3" w:rsidRDefault="007D7599" w:rsidP="007D7599">
      <w:pPr>
        <w:widowControl w:val="0"/>
        <w:tabs>
          <w:tab w:val="left" w:pos="90"/>
        </w:tabs>
        <w:spacing w:after="0" w:line="240" w:lineRule="auto"/>
        <w:rPr>
          <w:rFonts w:cstheme="minorHAnsi"/>
          <w:bCs/>
          <w:lang w:val="e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513"/>
        <w:gridCol w:w="1077"/>
        <w:gridCol w:w="1154"/>
        <w:gridCol w:w="1460"/>
        <w:gridCol w:w="1406"/>
        <w:gridCol w:w="878"/>
        <w:gridCol w:w="972"/>
        <w:gridCol w:w="1150"/>
      </w:tblGrid>
      <w:tr w:rsidR="00A525C3" w:rsidRPr="00A525C3" w:rsidTr="00A525C3">
        <w:trPr>
          <w:trHeight w:val="403"/>
        </w:trPr>
        <w:tc>
          <w:tcPr>
            <w:tcW w:w="2515" w:type="dxa"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077" w:type="dxa"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154" w:type="dxa"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460" w:type="dxa"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Watcher: Buy/Hold/Sell</w:t>
            </w:r>
          </w:p>
        </w:tc>
        <w:tc>
          <w:tcPr>
            <w:tcW w:w="1405" w:type="dxa"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SSG: Buy/Hold/Sell</w:t>
            </w:r>
          </w:p>
        </w:tc>
        <w:tc>
          <w:tcPr>
            <w:tcW w:w="878" w:type="dxa"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 of Shares</w:t>
            </w:r>
          </w:p>
        </w:tc>
        <w:tc>
          <w:tcPr>
            <w:tcW w:w="971" w:type="dxa"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of Portfolio</w:t>
            </w:r>
          </w:p>
        </w:tc>
        <w:tc>
          <w:tcPr>
            <w:tcW w:w="1150" w:type="dxa"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End</w:t>
            </w:r>
          </w:p>
        </w:tc>
      </w:tr>
      <w:tr w:rsidR="00A525C3" w:rsidRPr="00A525C3" w:rsidTr="00A525C3">
        <w:trPr>
          <w:trHeight w:val="261"/>
        </w:trPr>
        <w:tc>
          <w:tcPr>
            <w:tcW w:w="2515" w:type="dxa"/>
            <w:noWrap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Apple </w:t>
            </w:r>
          </w:p>
        </w:tc>
        <w:tc>
          <w:tcPr>
            <w:tcW w:w="1077" w:type="dxa"/>
            <w:noWrap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AAPL</w:t>
            </w:r>
          </w:p>
        </w:tc>
        <w:tc>
          <w:tcPr>
            <w:tcW w:w="1154" w:type="dxa"/>
            <w:noWrap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Jackie</w:t>
            </w:r>
          </w:p>
        </w:tc>
        <w:tc>
          <w:tcPr>
            <w:tcW w:w="146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SELL 20sh</w:t>
            </w:r>
          </w:p>
        </w:tc>
        <w:tc>
          <w:tcPr>
            <w:tcW w:w="1405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SELL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11.0</w:t>
            </w:r>
          </w:p>
        </w:tc>
        <w:tc>
          <w:tcPr>
            <w:tcW w:w="115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Sep</w:t>
            </w:r>
          </w:p>
        </w:tc>
      </w:tr>
      <w:tr w:rsidR="00A525C3" w:rsidRPr="00A525C3" w:rsidTr="00A525C3">
        <w:trPr>
          <w:trHeight w:val="261"/>
        </w:trPr>
        <w:tc>
          <w:tcPr>
            <w:tcW w:w="2515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BioSpecific</w:t>
            </w:r>
            <w:proofErr w:type="spellEnd"/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Technologies</w:t>
            </w:r>
          </w:p>
        </w:tc>
        <w:tc>
          <w:tcPr>
            <w:tcW w:w="1077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BTSC</w:t>
            </w:r>
          </w:p>
        </w:tc>
        <w:tc>
          <w:tcPr>
            <w:tcW w:w="1154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Gregg</w:t>
            </w:r>
          </w:p>
        </w:tc>
        <w:tc>
          <w:tcPr>
            <w:tcW w:w="146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</w:t>
            </w:r>
          </w:p>
        </w:tc>
        <w:tc>
          <w:tcPr>
            <w:tcW w:w="1405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BUY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115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Dec</w:t>
            </w:r>
          </w:p>
        </w:tc>
      </w:tr>
      <w:tr w:rsidR="00A525C3" w:rsidRPr="00A525C3" w:rsidTr="00A525C3">
        <w:trPr>
          <w:trHeight w:val="261"/>
        </w:trPr>
        <w:tc>
          <w:tcPr>
            <w:tcW w:w="2515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Booking</w:t>
            </w:r>
          </w:p>
        </w:tc>
        <w:tc>
          <w:tcPr>
            <w:tcW w:w="1077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BKNG</w:t>
            </w:r>
          </w:p>
        </w:tc>
        <w:tc>
          <w:tcPr>
            <w:tcW w:w="1154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Rich</w:t>
            </w:r>
          </w:p>
        </w:tc>
        <w:tc>
          <w:tcPr>
            <w:tcW w:w="146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</w:t>
            </w:r>
          </w:p>
        </w:tc>
        <w:tc>
          <w:tcPr>
            <w:tcW w:w="1405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BUY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6.8</w:t>
            </w:r>
          </w:p>
        </w:tc>
        <w:tc>
          <w:tcPr>
            <w:tcW w:w="115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Dec</w:t>
            </w:r>
          </w:p>
        </w:tc>
      </w:tr>
      <w:tr w:rsidR="00A525C3" w:rsidRPr="00A525C3" w:rsidTr="00A525C3">
        <w:trPr>
          <w:trHeight w:val="261"/>
        </w:trPr>
        <w:tc>
          <w:tcPr>
            <w:tcW w:w="2515" w:type="dxa"/>
            <w:noWrap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C. H. Robinson </w:t>
            </w:r>
          </w:p>
        </w:tc>
        <w:tc>
          <w:tcPr>
            <w:tcW w:w="1077" w:type="dxa"/>
            <w:noWrap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CHRW</w:t>
            </w:r>
          </w:p>
        </w:tc>
        <w:tc>
          <w:tcPr>
            <w:tcW w:w="1154" w:type="dxa"/>
            <w:noWrap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Cheryl</w:t>
            </w:r>
          </w:p>
        </w:tc>
        <w:tc>
          <w:tcPr>
            <w:tcW w:w="146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</w:t>
            </w:r>
          </w:p>
        </w:tc>
        <w:tc>
          <w:tcPr>
            <w:tcW w:w="1405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6.6</w:t>
            </w:r>
          </w:p>
        </w:tc>
        <w:tc>
          <w:tcPr>
            <w:tcW w:w="115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Dec</w:t>
            </w:r>
          </w:p>
        </w:tc>
      </w:tr>
      <w:tr w:rsidR="00A525C3" w:rsidRPr="00A525C3" w:rsidTr="00A525C3">
        <w:trPr>
          <w:trHeight w:val="261"/>
        </w:trPr>
        <w:tc>
          <w:tcPr>
            <w:tcW w:w="2515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CBRE Group</w:t>
            </w:r>
          </w:p>
        </w:tc>
        <w:tc>
          <w:tcPr>
            <w:tcW w:w="1077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CBRE</w:t>
            </w:r>
          </w:p>
        </w:tc>
        <w:tc>
          <w:tcPr>
            <w:tcW w:w="1154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Dene</w:t>
            </w:r>
          </w:p>
        </w:tc>
        <w:tc>
          <w:tcPr>
            <w:tcW w:w="146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</w:t>
            </w:r>
          </w:p>
        </w:tc>
        <w:tc>
          <w:tcPr>
            <w:tcW w:w="1405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5.6</w:t>
            </w:r>
          </w:p>
        </w:tc>
        <w:tc>
          <w:tcPr>
            <w:tcW w:w="115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Dec</w:t>
            </w:r>
          </w:p>
        </w:tc>
      </w:tr>
      <w:tr w:rsidR="00A525C3" w:rsidRPr="00A525C3" w:rsidTr="00A525C3">
        <w:trPr>
          <w:trHeight w:val="261"/>
        </w:trPr>
        <w:tc>
          <w:tcPr>
            <w:tcW w:w="2515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Charles Schwab</w:t>
            </w:r>
          </w:p>
        </w:tc>
        <w:tc>
          <w:tcPr>
            <w:tcW w:w="1077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SCHW</w:t>
            </w:r>
          </w:p>
        </w:tc>
        <w:tc>
          <w:tcPr>
            <w:tcW w:w="1154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Craig</w:t>
            </w:r>
          </w:p>
        </w:tc>
        <w:tc>
          <w:tcPr>
            <w:tcW w:w="146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BUY 30sh</w:t>
            </w:r>
          </w:p>
        </w:tc>
        <w:tc>
          <w:tcPr>
            <w:tcW w:w="1405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BUY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230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6.0</w:t>
            </w:r>
          </w:p>
        </w:tc>
        <w:tc>
          <w:tcPr>
            <w:tcW w:w="115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Dec</w:t>
            </w:r>
          </w:p>
        </w:tc>
      </w:tr>
      <w:tr w:rsidR="00A525C3" w:rsidRPr="00A525C3" w:rsidTr="00A525C3">
        <w:trPr>
          <w:trHeight w:val="260"/>
        </w:trPr>
        <w:tc>
          <w:tcPr>
            <w:tcW w:w="2515" w:type="dxa"/>
            <w:noWrap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Danaher</w:t>
            </w:r>
          </w:p>
        </w:tc>
        <w:tc>
          <w:tcPr>
            <w:tcW w:w="1077" w:type="dxa"/>
            <w:noWrap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DHR</w:t>
            </w:r>
          </w:p>
        </w:tc>
        <w:tc>
          <w:tcPr>
            <w:tcW w:w="1154" w:type="dxa"/>
            <w:noWrap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Harrison</w:t>
            </w:r>
          </w:p>
        </w:tc>
        <w:tc>
          <w:tcPr>
            <w:tcW w:w="146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</w:t>
            </w:r>
          </w:p>
        </w:tc>
        <w:tc>
          <w:tcPr>
            <w:tcW w:w="1405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9.5</w:t>
            </w:r>
          </w:p>
        </w:tc>
        <w:tc>
          <w:tcPr>
            <w:tcW w:w="115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Dec</w:t>
            </w:r>
          </w:p>
        </w:tc>
      </w:tr>
      <w:tr w:rsidR="00A525C3" w:rsidRPr="00A525C3" w:rsidTr="00A525C3">
        <w:trPr>
          <w:trHeight w:val="261"/>
        </w:trPr>
        <w:tc>
          <w:tcPr>
            <w:tcW w:w="2515" w:type="dxa"/>
            <w:noWrap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Fastenal</w:t>
            </w:r>
          </w:p>
        </w:tc>
        <w:tc>
          <w:tcPr>
            <w:tcW w:w="1077" w:type="dxa"/>
            <w:noWrap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FAST</w:t>
            </w:r>
          </w:p>
        </w:tc>
        <w:tc>
          <w:tcPr>
            <w:tcW w:w="1154" w:type="dxa"/>
            <w:noWrap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Rich</w:t>
            </w:r>
          </w:p>
        </w:tc>
        <w:tc>
          <w:tcPr>
            <w:tcW w:w="146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</w:t>
            </w:r>
          </w:p>
        </w:tc>
        <w:tc>
          <w:tcPr>
            <w:tcW w:w="1405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7.9</w:t>
            </w:r>
          </w:p>
        </w:tc>
        <w:tc>
          <w:tcPr>
            <w:tcW w:w="115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Dec</w:t>
            </w:r>
          </w:p>
        </w:tc>
      </w:tr>
      <w:tr w:rsidR="00A525C3" w:rsidRPr="00A525C3" w:rsidTr="00A525C3">
        <w:trPr>
          <w:trHeight w:val="261"/>
        </w:trPr>
        <w:tc>
          <w:tcPr>
            <w:tcW w:w="2515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Home Depot</w:t>
            </w:r>
          </w:p>
        </w:tc>
        <w:tc>
          <w:tcPr>
            <w:tcW w:w="1077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HD</w:t>
            </w:r>
          </w:p>
        </w:tc>
        <w:tc>
          <w:tcPr>
            <w:tcW w:w="1154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Nelson</w:t>
            </w:r>
          </w:p>
        </w:tc>
        <w:tc>
          <w:tcPr>
            <w:tcW w:w="146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5.5</w:t>
            </w:r>
          </w:p>
        </w:tc>
        <w:tc>
          <w:tcPr>
            <w:tcW w:w="115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Dec</w:t>
            </w:r>
          </w:p>
        </w:tc>
      </w:tr>
      <w:tr w:rsidR="00A525C3" w:rsidRPr="00A525C3" w:rsidTr="00A525C3">
        <w:trPr>
          <w:trHeight w:val="261"/>
        </w:trPr>
        <w:tc>
          <w:tcPr>
            <w:tcW w:w="2515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Insperity</w:t>
            </w:r>
            <w:proofErr w:type="spellEnd"/>
          </w:p>
        </w:tc>
        <w:tc>
          <w:tcPr>
            <w:tcW w:w="1077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NSP</w:t>
            </w:r>
          </w:p>
        </w:tc>
        <w:tc>
          <w:tcPr>
            <w:tcW w:w="1154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Mary</w:t>
            </w:r>
          </w:p>
        </w:tc>
        <w:tc>
          <w:tcPr>
            <w:tcW w:w="146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 or SELL all</w:t>
            </w:r>
          </w:p>
        </w:tc>
        <w:tc>
          <w:tcPr>
            <w:tcW w:w="1405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2.9</w:t>
            </w:r>
          </w:p>
        </w:tc>
        <w:tc>
          <w:tcPr>
            <w:tcW w:w="115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Dec</w:t>
            </w:r>
          </w:p>
        </w:tc>
      </w:tr>
      <w:tr w:rsidR="00A525C3" w:rsidRPr="00A525C3" w:rsidTr="00A525C3">
        <w:trPr>
          <w:trHeight w:val="261"/>
        </w:trPr>
        <w:tc>
          <w:tcPr>
            <w:tcW w:w="2515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LKQ Corp </w:t>
            </w:r>
          </w:p>
        </w:tc>
        <w:tc>
          <w:tcPr>
            <w:tcW w:w="1077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LKQ</w:t>
            </w:r>
          </w:p>
        </w:tc>
        <w:tc>
          <w:tcPr>
            <w:tcW w:w="1154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Michele</w:t>
            </w:r>
          </w:p>
        </w:tc>
        <w:tc>
          <w:tcPr>
            <w:tcW w:w="146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</w:t>
            </w:r>
          </w:p>
        </w:tc>
        <w:tc>
          <w:tcPr>
            <w:tcW w:w="1405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7.5</w:t>
            </w:r>
          </w:p>
        </w:tc>
        <w:tc>
          <w:tcPr>
            <w:tcW w:w="115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Dec</w:t>
            </w:r>
          </w:p>
        </w:tc>
      </w:tr>
      <w:tr w:rsidR="00A525C3" w:rsidRPr="00A525C3" w:rsidTr="00A525C3">
        <w:trPr>
          <w:trHeight w:val="261"/>
        </w:trPr>
        <w:tc>
          <w:tcPr>
            <w:tcW w:w="2515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Lam Research</w:t>
            </w:r>
          </w:p>
        </w:tc>
        <w:tc>
          <w:tcPr>
            <w:tcW w:w="1077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LRCX</w:t>
            </w:r>
          </w:p>
        </w:tc>
        <w:tc>
          <w:tcPr>
            <w:tcW w:w="1154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Bill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115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Jun</w:t>
            </w:r>
          </w:p>
        </w:tc>
      </w:tr>
      <w:tr w:rsidR="00A525C3" w:rsidRPr="00A525C3" w:rsidTr="00A525C3">
        <w:trPr>
          <w:trHeight w:val="261"/>
        </w:trPr>
        <w:tc>
          <w:tcPr>
            <w:tcW w:w="2515" w:type="dxa"/>
            <w:noWrap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Signature Bank</w:t>
            </w:r>
          </w:p>
        </w:tc>
        <w:tc>
          <w:tcPr>
            <w:tcW w:w="1077" w:type="dxa"/>
            <w:noWrap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SBNY</w:t>
            </w:r>
          </w:p>
        </w:tc>
        <w:tc>
          <w:tcPr>
            <w:tcW w:w="1154" w:type="dxa"/>
            <w:noWrap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Craig</w:t>
            </w:r>
          </w:p>
        </w:tc>
        <w:tc>
          <w:tcPr>
            <w:tcW w:w="146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</w:t>
            </w:r>
          </w:p>
        </w:tc>
        <w:tc>
          <w:tcPr>
            <w:tcW w:w="1405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BUY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5.6</w:t>
            </w:r>
          </w:p>
        </w:tc>
        <w:tc>
          <w:tcPr>
            <w:tcW w:w="115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Dec</w:t>
            </w:r>
          </w:p>
        </w:tc>
      </w:tr>
      <w:tr w:rsidR="00A525C3" w:rsidRPr="00A525C3" w:rsidTr="00A525C3">
        <w:trPr>
          <w:trHeight w:val="261"/>
        </w:trPr>
        <w:tc>
          <w:tcPr>
            <w:tcW w:w="2515" w:type="dxa"/>
            <w:noWrap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Starbucks</w:t>
            </w:r>
          </w:p>
        </w:tc>
        <w:tc>
          <w:tcPr>
            <w:tcW w:w="1077" w:type="dxa"/>
            <w:noWrap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SBUX</w:t>
            </w:r>
          </w:p>
        </w:tc>
        <w:tc>
          <w:tcPr>
            <w:tcW w:w="1154" w:type="dxa"/>
            <w:noWrap/>
            <w:vAlign w:val="center"/>
            <w:hideMark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Gerry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3.9</w:t>
            </w:r>
          </w:p>
        </w:tc>
        <w:tc>
          <w:tcPr>
            <w:tcW w:w="115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Sep</w:t>
            </w:r>
          </w:p>
        </w:tc>
      </w:tr>
      <w:tr w:rsidR="00A525C3" w:rsidRPr="00A525C3" w:rsidTr="00A525C3">
        <w:trPr>
          <w:trHeight w:val="261"/>
        </w:trPr>
        <w:tc>
          <w:tcPr>
            <w:tcW w:w="2515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Tractor Supply</w:t>
            </w:r>
          </w:p>
        </w:tc>
        <w:tc>
          <w:tcPr>
            <w:tcW w:w="1077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TSCO</w:t>
            </w:r>
          </w:p>
        </w:tc>
        <w:tc>
          <w:tcPr>
            <w:tcW w:w="1154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Gregg</w:t>
            </w:r>
          </w:p>
        </w:tc>
        <w:tc>
          <w:tcPr>
            <w:tcW w:w="1460" w:type="dxa"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</w:t>
            </w:r>
          </w:p>
        </w:tc>
        <w:tc>
          <w:tcPr>
            <w:tcW w:w="1405" w:type="dxa"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145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7.2</w:t>
            </w:r>
          </w:p>
        </w:tc>
        <w:tc>
          <w:tcPr>
            <w:tcW w:w="115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Dec</w:t>
            </w:r>
          </w:p>
        </w:tc>
      </w:tr>
      <w:tr w:rsidR="00A525C3" w:rsidRPr="00A525C3" w:rsidTr="00A525C3">
        <w:trPr>
          <w:trHeight w:val="261"/>
        </w:trPr>
        <w:tc>
          <w:tcPr>
            <w:tcW w:w="2515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Ulta</w:t>
            </w:r>
            <w:proofErr w:type="spellEnd"/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Beauty</w:t>
            </w:r>
          </w:p>
        </w:tc>
        <w:tc>
          <w:tcPr>
            <w:tcW w:w="1077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ULTA</w:t>
            </w:r>
          </w:p>
        </w:tc>
        <w:tc>
          <w:tcPr>
            <w:tcW w:w="1154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Kate</w:t>
            </w:r>
          </w:p>
        </w:tc>
        <w:tc>
          <w:tcPr>
            <w:tcW w:w="1460" w:type="dxa"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</w:t>
            </w:r>
          </w:p>
        </w:tc>
        <w:tc>
          <w:tcPr>
            <w:tcW w:w="1405" w:type="dxa"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5.1</w:t>
            </w:r>
          </w:p>
        </w:tc>
        <w:tc>
          <w:tcPr>
            <w:tcW w:w="115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Jan</w:t>
            </w:r>
          </w:p>
        </w:tc>
      </w:tr>
      <w:tr w:rsidR="00A525C3" w:rsidRPr="00A525C3" w:rsidTr="00A525C3">
        <w:trPr>
          <w:trHeight w:val="261"/>
        </w:trPr>
        <w:tc>
          <w:tcPr>
            <w:tcW w:w="2515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Vanguard Healthcare ETF</w:t>
            </w:r>
          </w:p>
        </w:tc>
        <w:tc>
          <w:tcPr>
            <w:tcW w:w="1077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VHT</w:t>
            </w:r>
          </w:p>
        </w:tc>
        <w:tc>
          <w:tcPr>
            <w:tcW w:w="1154" w:type="dxa"/>
            <w:noWrap/>
            <w:vAlign w:val="center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Jackie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HOLD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1150" w:type="dxa"/>
            <w:noWrap/>
            <w:vAlign w:val="center"/>
          </w:tcPr>
          <w:p w:rsidR="007D7599" w:rsidRPr="00A525C3" w:rsidRDefault="007D7599" w:rsidP="00A525C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7599" w:rsidRPr="00A525C3" w:rsidTr="00A525C3">
        <w:trPr>
          <w:trHeight w:val="170"/>
        </w:trPr>
        <w:tc>
          <w:tcPr>
            <w:tcW w:w="10610" w:type="dxa"/>
            <w:gridSpan w:val="8"/>
            <w:noWrap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Pounce/Watch List</w:t>
            </w:r>
          </w:p>
        </w:tc>
      </w:tr>
      <w:tr w:rsidR="007D7599" w:rsidRPr="00A525C3" w:rsidTr="00A525C3">
        <w:tc>
          <w:tcPr>
            <w:tcW w:w="2515" w:type="dxa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077" w:type="dxa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154" w:type="dxa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460" w:type="dxa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Presented</w:t>
            </w:r>
          </w:p>
        </w:tc>
        <w:tc>
          <w:tcPr>
            <w:tcW w:w="4404" w:type="dxa"/>
            <w:gridSpan w:val="4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Recommendation/Remarks</w:t>
            </w:r>
          </w:p>
        </w:tc>
      </w:tr>
      <w:tr w:rsidR="007D7599" w:rsidRPr="00A525C3" w:rsidTr="00A525C3">
        <w:tc>
          <w:tcPr>
            <w:tcW w:w="2515" w:type="dxa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Illumina</w:t>
            </w:r>
            <w:proofErr w:type="spellEnd"/>
          </w:p>
        </w:tc>
        <w:tc>
          <w:tcPr>
            <w:tcW w:w="1077" w:type="dxa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ILMN</w:t>
            </w:r>
          </w:p>
        </w:tc>
        <w:tc>
          <w:tcPr>
            <w:tcW w:w="1154" w:type="dxa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Dene</w:t>
            </w:r>
          </w:p>
        </w:tc>
        <w:tc>
          <w:tcPr>
            <w:tcW w:w="1460" w:type="dxa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11/16/19</w:t>
            </w:r>
          </w:p>
        </w:tc>
        <w:tc>
          <w:tcPr>
            <w:tcW w:w="4404" w:type="dxa"/>
            <w:gridSpan w:val="4"/>
            <w:shd w:val="clear" w:color="auto" w:fill="auto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Limit order for 5 </w:t>
            </w:r>
            <w:proofErr w:type="spellStart"/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sh</w:t>
            </w:r>
            <w:proofErr w:type="spellEnd"/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ILMN @$295, no change</w:t>
            </w:r>
          </w:p>
        </w:tc>
      </w:tr>
      <w:tr w:rsidR="007D7599" w:rsidRPr="00A525C3" w:rsidTr="00A525C3">
        <w:tc>
          <w:tcPr>
            <w:tcW w:w="2515" w:type="dxa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Visa</w:t>
            </w:r>
          </w:p>
        </w:tc>
        <w:tc>
          <w:tcPr>
            <w:tcW w:w="1077" w:type="dxa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V</w:t>
            </w:r>
          </w:p>
        </w:tc>
        <w:tc>
          <w:tcPr>
            <w:tcW w:w="1154" w:type="dxa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Harrison</w:t>
            </w:r>
          </w:p>
        </w:tc>
        <w:tc>
          <w:tcPr>
            <w:tcW w:w="1460" w:type="dxa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6/22/19</w:t>
            </w:r>
          </w:p>
        </w:tc>
        <w:tc>
          <w:tcPr>
            <w:tcW w:w="4404" w:type="dxa"/>
            <w:gridSpan w:val="4"/>
            <w:shd w:val="clear" w:color="auto" w:fill="auto"/>
          </w:tcPr>
          <w:p w:rsidR="007D7599" w:rsidRPr="00A525C3" w:rsidRDefault="007D7599" w:rsidP="007D7599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5C3">
              <w:rPr>
                <w:rFonts w:ascii="Times New Roman" w:hAnsi="Times New Roman" w:cs="Times New Roman"/>
                <w:bCs/>
                <w:sz w:val="20"/>
                <w:szCs w:val="20"/>
              </w:rPr>
              <w:t>Has risen well beyond the BUY range</w:t>
            </w:r>
          </w:p>
        </w:tc>
      </w:tr>
    </w:tbl>
    <w:p w:rsidR="00A51F87" w:rsidRPr="00A525C3" w:rsidRDefault="00A51F87" w:rsidP="007D7599">
      <w:pPr>
        <w:widowControl w:val="0"/>
        <w:tabs>
          <w:tab w:val="left" w:pos="90"/>
        </w:tabs>
        <w:spacing w:after="0" w:line="240" w:lineRule="auto"/>
        <w:rPr>
          <w:rFonts w:cstheme="minorHAnsi"/>
          <w:bCs/>
          <w:lang w:val="en"/>
        </w:rPr>
      </w:pPr>
    </w:p>
    <w:p w:rsidR="000E0FD9" w:rsidRPr="00A525C3" w:rsidRDefault="005567D6" w:rsidP="005567D6">
      <w:pPr>
        <w:widowControl w:val="0"/>
        <w:tabs>
          <w:tab w:val="left" w:pos="90"/>
        </w:tabs>
        <w:spacing w:after="0" w:line="240" w:lineRule="auto"/>
        <w:rPr>
          <w:rFonts w:cstheme="minorHAnsi"/>
          <w:bCs/>
          <w:lang w:val="en"/>
        </w:rPr>
      </w:pPr>
      <w:r w:rsidRPr="00A525C3">
        <w:rPr>
          <w:rFonts w:cstheme="minorHAnsi"/>
          <w:b/>
          <w:bCs/>
          <w:u w:val="single"/>
          <w:lang w:val="en"/>
        </w:rPr>
        <w:t>Adjournment:</w:t>
      </w:r>
      <w:r w:rsidR="00121E21">
        <w:rPr>
          <w:rFonts w:cstheme="minorHAnsi"/>
          <w:bCs/>
          <w:lang w:val="en"/>
        </w:rPr>
        <w:t xml:space="preserve"> 11:31</w:t>
      </w:r>
      <w:r w:rsidRPr="00A525C3">
        <w:rPr>
          <w:rFonts w:cstheme="minorHAnsi"/>
          <w:bCs/>
          <w:lang w:val="en"/>
        </w:rPr>
        <w:t>am</w:t>
      </w:r>
    </w:p>
    <w:p w:rsidR="00A525C3" w:rsidRDefault="00A525C3" w:rsidP="00904F61">
      <w:pPr>
        <w:widowControl w:val="0"/>
        <w:spacing w:after="0" w:line="240" w:lineRule="auto"/>
        <w:rPr>
          <w:rFonts w:cstheme="minorHAnsi"/>
          <w:bCs/>
          <w:lang w:val="en"/>
        </w:rPr>
      </w:pPr>
    </w:p>
    <w:p w:rsidR="00EB180C" w:rsidRPr="003C14DF" w:rsidRDefault="005567D6" w:rsidP="00904F61">
      <w:pPr>
        <w:widowControl w:val="0"/>
        <w:spacing w:after="0" w:line="240" w:lineRule="auto"/>
        <w:rPr>
          <w:rFonts w:cstheme="minorHAnsi"/>
        </w:rPr>
      </w:pPr>
      <w:r w:rsidRPr="003C14DF">
        <w:rPr>
          <w:rFonts w:cstheme="minorHAnsi"/>
          <w:bCs/>
          <w:lang w:val="en"/>
        </w:rPr>
        <w:t xml:space="preserve">Submitted by Rich Alden, </w:t>
      </w:r>
      <w:r w:rsidR="00B31CF0" w:rsidRPr="003C14DF">
        <w:rPr>
          <w:rFonts w:cstheme="minorHAnsi"/>
          <w:bCs/>
          <w:lang w:val="en"/>
        </w:rPr>
        <w:t xml:space="preserve">Acting </w:t>
      </w:r>
      <w:r w:rsidRPr="003C14DF">
        <w:rPr>
          <w:rFonts w:cstheme="minorHAnsi"/>
          <w:bCs/>
          <w:lang w:val="en"/>
        </w:rPr>
        <w:t>Recording Partner</w:t>
      </w:r>
    </w:p>
    <w:p w:rsidR="00AF698B" w:rsidRPr="003C14DF" w:rsidRDefault="00AF698B" w:rsidP="00AF698B">
      <w:pPr>
        <w:spacing w:after="0"/>
        <w:jc w:val="center"/>
        <w:rPr>
          <w:rFonts w:eastAsia="Times New Roman" w:cstheme="minorHAnsi"/>
        </w:rPr>
      </w:pPr>
      <w:r w:rsidRPr="003C14DF">
        <w:rPr>
          <w:rFonts w:eastAsia="Times New Roman" w:cstheme="minorHAnsi"/>
          <w:b/>
        </w:rPr>
        <w:t>Future meetings:    Mid</w:t>
      </w:r>
      <w:r w:rsidR="00904F61" w:rsidRPr="003C14DF">
        <w:rPr>
          <w:rFonts w:eastAsia="Times New Roman" w:cstheme="minorHAnsi"/>
          <w:b/>
        </w:rPr>
        <w:t>-Month</w:t>
      </w:r>
      <w:r w:rsidRPr="003C14DF">
        <w:rPr>
          <w:rFonts w:eastAsia="Times New Roman" w:cstheme="minorHAnsi"/>
          <w:b/>
        </w:rPr>
        <w:t>:</w:t>
      </w:r>
      <w:r w:rsidRPr="003C14DF">
        <w:rPr>
          <w:rFonts w:eastAsia="Times New Roman" w:cstheme="minorHAnsi"/>
        </w:rPr>
        <w:t xml:space="preserve"> </w:t>
      </w:r>
      <w:r w:rsidR="00941D89">
        <w:rPr>
          <w:rFonts w:eastAsia="Times New Roman" w:cstheme="minorHAnsi"/>
        </w:rPr>
        <w:t>Feb 1</w:t>
      </w:r>
      <w:r w:rsidR="00B31CF0" w:rsidRPr="003C14DF">
        <w:rPr>
          <w:rFonts w:eastAsia="Times New Roman" w:cstheme="minorHAnsi"/>
        </w:rPr>
        <w:t>, 2020</w:t>
      </w:r>
      <w:r w:rsidRPr="003C14DF">
        <w:rPr>
          <w:rFonts w:eastAsia="Times New Roman" w:cstheme="minorHAnsi"/>
        </w:rPr>
        <w:t xml:space="preserve">, webinar; </w:t>
      </w:r>
      <w:r w:rsidRPr="003C14DF">
        <w:rPr>
          <w:rFonts w:eastAsia="Times New Roman" w:cstheme="minorHAnsi"/>
          <w:b/>
        </w:rPr>
        <w:t xml:space="preserve">Regular meeting: </w:t>
      </w:r>
      <w:r w:rsidR="00941D89">
        <w:rPr>
          <w:rFonts w:eastAsia="Times New Roman" w:cstheme="minorHAnsi"/>
        </w:rPr>
        <w:t>Feb 15</w:t>
      </w:r>
      <w:r w:rsidR="00B31CF0" w:rsidRPr="003C14DF">
        <w:rPr>
          <w:rFonts w:eastAsia="Times New Roman" w:cstheme="minorHAnsi"/>
        </w:rPr>
        <w:t>, 2020</w:t>
      </w:r>
      <w:r w:rsidRPr="003C14DF">
        <w:rPr>
          <w:rFonts w:eastAsia="Times New Roman" w:cstheme="minorHAnsi"/>
        </w:rPr>
        <w:t xml:space="preserve">, Library </w:t>
      </w:r>
      <w:r w:rsidR="00B31CF0" w:rsidRPr="003C14DF">
        <w:rPr>
          <w:rFonts w:eastAsia="Times New Roman" w:cstheme="minorHAnsi"/>
        </w:rPr>
        <w:t>Board Room</w:t>
      </w:r>
    </w:p>
    <w:p w:rsidR="00AF698B" w:rsidRPr="00941D89" w:rsidRDefault="00941D89" w:rsidP="00AF698B">
      <w:pPr>
        <w:spacing w:after="0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</w:rPr>
        <w:t>Stock Study:</w:t>
      </w:r>
      <w:r>
        <w:rPr>
          <w:rFonts w:eastAsia="Times New Roman" w:cstheme="minorHAnsi"/>
        </w:rPr>
        <w:t xml:space="preserve"> </w:t>
      </w:r>
      <w:r w:rsidR="007D7599">
        <w:rPr>
          <w:rFonts w:eastAsia="Times New Roman" w:cstheme="minorHAnsi"/>
        </w:rPr>
        <w:t xml:space="preserve">Eugene </w:t>
      </w:r>
      <w:r w:rsidR="00A525C3">
        <w:rPr>
          <w:rFonts w:eastAsia="Times New Roman" w:cstheme="minorHAnsi"/>
        </w:rPr>
        <w:t xml:space="preserve">Burnett </w:t>
      </w:r>
      <w:r w:rsidR="007D7599">
        <w:rPr>
          <w:rFonts w:eastAsia="Times New Roman" w:cstheme="minorHAnsi"/>
        </w:rPr>
        <w:t>(new)</w:t>
      </w:r>
      <w:r>
        <w:rPr>
          <w:rFonts w:eastAsia="Times New Roman" w:cstheme="minorHAnsi"/>
          <w:b/>
        </w:rPr>
        <w:t>, Education:</w:t>
      </w:r>
      <w:r>
        <w:rPr>
          <w:rFonts w:eastAsia="Times New Roman" w:cstheme="minorHAnsi"/>
        </w:rPr>
        <w:t xml:space="preserve"> Gerry</w:t>
      </w:r>
    </w:p>
    <w:p w:rsidR="00904F61" w:rsidRPr="003C14DF" w:rsidRDefault="00904F61" w:rsidP="00904F61">
      <w:pPr>
        <w:spacing w:after="0"/>
        <w:rPr>
          <w:rFonts w:eastAsia="Times New Roman" w:cstheme="minorHAnsi"/>
          <w:b/>
        </w:rPr>
      </w:pPr>
    </w:p>
    <w:p w:rsidR="003C14DF" w:rsidRPr="003C14DF" w:rsidRDefault="00904F61" w:rsidP="00E32AA2">
      <w:pPr>
        <w:spacing w:after="0"/>
        <w:rPr>
          <w:rFonts w:eastAsia="Times New Roman" w:cstheme="minorHAnsi"/>
        </w:rPr>
      </w:pPr>
      <w:r w:rsidRPr="003C14DF">
        <w:rPr>
          <w:rFonts w:eastAsia="Times New Roman" w:cstheme="minorHAnsi"/>
          <w:b/>
        </w:rPr>
        <w:t>Stock Study and Education Schedule</w:t>
      </w:r>
      <w:r w:rsidRPr="003C14DF">
        <w:rPr>
          <w:rFonts w:eastAsia="Times New Roman" w:cstheme="minorHAnsi"/>
        </w:rPr>
        <w:t xml:space="preserve"> (new members may alter this schedule):</w:t>
      </w:r>
    </w:p>
    <w:p w:rsidR="006E3746" w:rsidRDefault="00121E21" w:rsidP="006E3746">
      <w:pPr>
        <w:rPr>
          <w:rFonts w:eastAsia="Times New Roman"/>
          <w:b/>
          <w:sz w:val="18"/>
          <w:szCs w:val="18"/>
        </w:rPr>
      </w:pPr>
      <w:r w:rsidRPr="00121E21">
        <w:drawing>
          <wp:inline distT="0" distB="0" distL="0" distR="0">
            <wp:extent cx="6743700" cy="90543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0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3746" w:rsidSect="0030451A">
      <w:footerReference w:type="default" r:id="rId13"/>
      <w:pgSz w:w="12240" w:h="15840"/>
      <w:pgMar w:top="720" w:right="90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A5A" w:rsidRDefault="004F2A5A">
      <w:pPr>
        <w:spacing w:after="0" w:line="240" w:lineRule="auto"/>
      </w:pPr>
      <w:r>
        <w:separator/>
      </w:r>
    </w:p>
  </w:endnote>
  <w:endnote w:type="continuationSeparator" w:id="0">
    <w:p w:rsidR="004F2A5A" w:rsidRDefault="004F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51A" w:rsidRDefault="0030451A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121E21">
      <w:rPr>
        <w:noProof/>
      </w:rPr>
      <w:t>1</w:t>
    </w:r>
    <w:r>
      <w:fldChar w:fldCharType="end"/>
    </w:r>
  </w:p>
  <w:p w:rsidR="0030451A" w:rsidRDefault="00304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A5A" w:rsidRDefault="004F2A5A">
      <w:pPr>
        <w:spacing w:after="0" w:line="240" w:lineRule="auto"/>
      </w:pPr>
      <w:r>
        <w:separator/>
      </w:r>
    </w:p>
  </w:footnote>
  <w:footnote w:type="continuationSeparator" w:id="0">
    <w:p w:rsidR="004F2A5A" w:rsidRDefault="004F2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60C20"/>
    <w:multiLevelType w:val="hybridMultilevel"/>
    <w:tmpl w:val="CC86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D12D7"/>
    <w:multiLevelType w:val="hybridMultilevel"/>
    <w:tmpl w:val="9226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A24E2"/>
    <w:multiLevelType w:val="hybridMultilevel"/>
    <w:tmpl w:val="D244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F66B9"/>
    <w:multiLevelType w:val="multilevel"/>
    <w:tmpl w:val="457E4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49607B"/>
    <w:multiLevelType w:val="multilevel"/>
    <w:tmpl w:val="375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1E3F0700"/>
    <w:multiLevelType w:val="hybridMultilevel"/>
    <w:tmpl w:val="6AA6E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2A1C9C"/>
    <w:multiLevelType w:val="hybridMultilevel"/>
    <w:tmpl w:val="AB8EF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795FAB"/>
    <w:multiLevelType w:val="hybridMultilevel"/>
    <w:tmpl w:val="B5EED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3729EA"/>
    <w:multiLevelType w:val="hybridMultilevel"/>
    <w:tmpl w:val="7866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D5DAA"/>
    <w:multiLevelType w:val="hybridMultilevel"/>
    <w:tmpl w:val="13D08A88"/>
    <w:lvl w:ilvl="0" w:tplc="537E6A9E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C92333"/>
    <w:multiLevelType w:val="multilevel"/>
    <w:tmpl w:val="39CA7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EF12256"/>
    <w:multiLevelType w:val="multilevel"/>
    <w:tmpl w:val="F3B06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FDF3CA4"/>
    <w:multiLevelType w:val="hybridMultilevel"/>
    <w:tmpl w:val="6526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C4775"/>
    <w:multiLevelType w:val="hybridMultilevel"/>
    <w:tmpl w:val="252437E2"/>
    <w:lvl w:ilvl="0" w:tplc="E268735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75BEB"/>
    <w:multiLevelType w:val="multilevel"/>
    <w:tmpl w:val="295E5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D3320EF"/>
    <w:multiLevelType w:val="hybridMultilevel"/>
    <w:tmpl w:val="14985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5801CE"/>
    <w:multiLevelType w:val="hybridMultilevel"/>
    <w:tmpl w:val="84BA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66C59"/>
    <w:multiLevelType w:val="multilevel"/>
    <w:tmpl w:val="CC9C1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F8B0B06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20">
    <w:nsid w:val="40AC3A80"/>
    <w:multiLevelType w:val="hybridMultilevel"/>
    <w:tmpl w:val="E242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03F44"/>
    <w:multiLevelType w:val="hybridMultilevel"/>
    <w:tmpl w:val="B05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E79C9"/>
    <w:multiLevelType w:val="hybridMultilevel"/>
    <w:tmpl w:val="CE64876C"/>
    <w:lvl w:ilvl="0" w:tplc="537E6A9E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074C7"/>
    <w:multiLevelType w:val="hybridMultilevel"/>
    <w:tmpl w:val="C860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1361486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70EA2"/>
    <w:multiLevelType w:val="hybridMultilevel"/>
    <w:tmpl w:val="095C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6623A"/>
    <w:multiLevelType w:val="hybridMultilevel"/>
    <w:tmpl w:val="89A4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8062ED"/>
    <w:multiLevelType w:val="hybridMultilevel"/>
    <w:tmpl w:val="1274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56BA2"/>
    <w:multiLevelType w:val="hybridMultilevel"/>
    <w:tmpl w:val="051C7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D1C0F"/>
    <w:multiLevelType w:val="multilevel"/>
    <w:tmpl w:val="5B7C2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D7E0F39"/>
    <w:multiLevelType w:val="hybridMultilevel"/>
    <w:tmpl w:val="13364EB6"/>
    <w:lvl w:ilvl="0" w:tplc="E2687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DD520A"/>
    <w:multiLevelType w:val="hybridMultilevel"/>
    <w:tmpl w:val="1642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C1865"/>
    <w:multiLevelType w:val="hybridMultilevel"/>
    <w:tmpl w:val="28F6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FD63F9"/>
    <w:multiLevelType w:val="hybridMultilevel"/>
    <w:tmpl w:val="25EE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045C4"/>
    <w:multiLevelType w:val="multilevel"/>
    <w:tmpl w:val="49780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4961DE9"/>
    <w:multiLevelType w:val="hybridMultilevel"/>
    <w:tmpl w:val="6D060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EC2383"/>
    <w:multiLevelType w:val="hybridMultilevel"/>
    <w:tmpl w:val="057A5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F1396"/>
    <w:multiLevelType w:val="hybridMultilevel"/>
    <w:tmpl w:val="FB2E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814A3C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38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A1249"/>
    <w:multiLevelType w:val="hybridMultilevel"/>
    <w:tmpl w:val="7012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D5014"/>
    <w:multiLevelType w:val="multilevel"/>
    <w:tmpl w:val="926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28"/>
  </w:num>
  <w:num w:numId="5">
    <w:abstractNumId w:val="19"/>
  </w:num>
  <w:num w:numId="6">
    <w:abstractNumId w:val="33"/>
  </w:num>
  <w:num w:numId="7">
    <w:abstractNumId w:val="18"/>
  </w:num>
  <w:num w:numId="8">
    <w:abstractNumId w:val="40"/>
  </w:num>
  <w:num w:numId="9">
    <w:abstractNumId w:val="4"/>
  </w:num>
  <w:num w:numId="10">
    <w:abstractNumId w:val="11"/>
  </w:num>
  <w:num w:numId="11">
    <w:abstractNumId w:val="23"/>
  </w:num>
  <w:num w:numId="12">
    <w:abstractNumId w:val="16"/>
  </w:num>
  <w:num w:numId="13">
    <w:abstractNumId w:val="2"/>
  </w:num>
  <w:num w:numId="14">
    <w:abstractNumId w:val="32"/>
  </w:num>
  <w:num w:numId="15">
    <w:abstractNumId w:val="22"/>
  </w:num>
  <w:num w:numId="16">
    <w:abstractNumId w:val="9"/>
  </w:num>
  <w:num w:numId="17">
    <w:abstractNumId w:val="27"/>
  </w:num>
  <w:num w:numId="18">
    <w:abstractNumId w:val="29"/>
  </w:num>
  <w:num w:numId="19">
    <w:abstractNumId w:val="34"/>
  </w:num>
  <w:num w:numId="20">
    <w:abstractNumId w:val="13"/>
  </w:num>
  <w:num w:numId="21">
    <w:abstractNumId w:val="31"/>
  </w:num>
  <w:num w:numId="22">
    <w:abstractNumId w:val="20"/>
  </w:num>
  <w:num w:numId="23">
    <w:abstractNumId w:val="36"/>
  </w:num>
  <w:num w:numId="24">
    <w:abstractNumId w:val="26"/>
  </w:num>
  <w:num w:numId="25">
    <w:abstractNumId w:val="17"/>
  </w:num>
  <w:num w:numId="26">
    <w:abstractNumId w:val="35"/>
  </w:num>
  <w:num w:numId="27">
    <w:abstractNumId w:val="38"/>
  </w:num>
  <w:num w:numId="28">
    <w:abstractNumId w:val="37"/>
  </w:num>
  <w:num w:numId="29">
    <w:abstractNumId w:val="5"/>
  </w:num>
  <w:num w:numId="30">
    <w:abstractNumId w:val="14"/>
  </w:num>
  <w:num w:numId="31">
    <w:abstractNumId w:val="21"/>
  </w:num>
  <w:num w:numId="32">
    <w:abstractNumId w:val="6"/>
  </w:num>
  <w:num w:numId="33">
    <w:abstractNumId w:val="12"/>
  </w:num>
  <w:num w:numId="34">
    <w:abstractNumId w:val="1"/>
  </w:num>
  <w:num w:numId="35">
    <w:abstractNumId w:val="30"/>
  </w:num>
  <w:num w:numId="36">
    <w:abstractNumId w:val="24"/>
  </w:num>
  <w:num w:numId="37">
    <w:abstractNumId w:val="39"/>
  </w:num>
  <w:num w:numId="38">
    <w:abstractNumId w:val="7"/>
  </w:num>
  <w:num w:numId="39">
    <w:abstractNumId w:val="8"/>
  </w:num>
  <w:num w:numId="40">
    <w:abstractNumId w:val="25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06"/>
    <w:rsid w:val="000103FF"/>
    <w:rsid w:val="00024A35"/>
    <w:rsid w:val="00034FDC"/>
    <w:rsid w:val="000355FB"/>
    <w:rsid w:val="000464F0"/>
    <w:rsid w:val="00094845"/>
    <w:rsid w:val="00097E2F"/>
    <w:rsid w:val="000E0FD9"/>
    <w:rsid w:val="00115D7F"/>
    <w:rsid w:val="0012158C"/>
    <w:rsid w:val="00121E21"/>
    <w:rsid w:val="00131E0E"/>
    <w:rsid w:val="001424A6"/>
    <w:rsid w:val="0016718B"/>
    <w:rsid w:val="00193B01"/>
    <w:rsid w:val="001F02EF"/>
    <w:rsid w:val="001F0762"/>
    <w:rsid w:val="001F2E14"/>
    <w:rsid w:val="00213B49"/>
    <w:rsid w:val="002435B7"/>
    <w:rsid w:val="00277486"/>
    <w:rsid w:val="00297D71"/>
    <w:rsid w:val="002A25C8"/>
    <w:rsid w:val="002C4DEE"/>
    <w:rsid w:val="002E3E05"/>
    <w:rsid w:val="002F5A75"/>
    <w:rsid w:val="00301754"/>
    <w:rsid w:val="0030451A"/>
    <w:rsid w:val="00327015"/>
    <w:rsid w:val="0032791D"/>
    <w:rsid w:val="0035600C"/>
    <w:rsid w:val="003944BE"/>
    <w:rsid w:val="003B207B"/>
    <w:rsid w:val="003B4AE5"/>
    <w:rsid w:val="003C14DF"/>
    <w:rsid w:val="003D4A7C"/>
    <w:rsid w:val="003F00C6"/>
    <w:rsid w:val="00405B0B"/>
    <w:rsid w:val="004242D3"/>
    <w:rsid w:val="00436290"/>
    <w:rsid w:val="00442A4E"/>
    <w:rsid w:val="0045000C"/>
    <w:rsid w:val="004560C0"/>
    <w:rsid w:val="00485E41"/>
    <w:rsid w:val="00491B6F"/>
    <w:rsid w:val="004B3313"/>
    <w:rsid w:val="004F2A5A"/>
    <w:rsid w:val="004F6AE5"/>
    <w:rsid w:val="00527B79"/>
    <w:rsid w:val="005567D6"/>
    <w:rsid w:val="00560E2A"/>
    <w:rsid w:val="005835FF"/>
    <w:rsid w:val="00600E65"/>
    <w:rsid w:val="00604B21"/>
    <w:rsid w:val="006526B5"/>
    <w:rsid w:val="00694905"/>
    <w:rsid w:val="006B3125"/>
    <w:rsid w:val="006D7806"/>
    <w:rsid w:val="006E0203"/>
    <w:rsid w:val="006E3746"/>
    <w:rsid w:val="0073387B"/>
    <w:rsid w:val="007A1F42"/>
    <w:rsid w:val="007C1A30"/>
    <w:rsid w:val="007C1EFE"/>
    <w:rsid w:val="007C69EE"/>
    <w:rsid w:val="007D7599"/>
    <w:rsid w:val="007F2A34"/>
    <w:rsid w:val="008062AE"/>
    <w:rsid w:val="008535C6"/>
    <w:rsid w:val="00856146"/>
    <w:rsid w:val="00862143"/>
    <w:rsid w:val="0086450D"/>
    <w:rsid w:val="00887FEA"/>
    <w:rsid w:val="008A4E91"/>
    <w:rsid w:val="008E1904"/>
    <w:rsid w:val="008E5EAD"/>
    <w:rsid w:val="008E7976"/>
    <w:rsid w:val="009040BB"/>
    <w:rsid w:val="00904F61"/>
    <w:rsid w:val="00941D89"/>
    <w:rsid w:val="0096417C"/>
    <w:rsid w:val="00965DAE"/>
    <w:rsid w:val="00973809"/>
    <w:rsid w:val="009B0DD4"/>
    <w:rsid w:val="009C039E"/>
    <w:rsid w:val="009C1606"/>
    <w:rsid w:val="009F2C8E"/>
    <w:rsid w:val="00A2194C"/>
    <w:rsid w:val="00A21EA0"/>
    <w:rsid w:val="00A37A56"/>
    <w:rsid w:val="00A51F87"/>
    <w:rsid w:val="00A525C3"/>
    <w:rsid w:val="00A8255D"/>
    <w:rsid w:val="00AE0C91"/>
    <w:rsid w:val="00AF0964"/>
    <w:rsid w:val="00AF698B"/>
    <w:rsid w:val="00B31CF0"/>
    <w:rsid w:val="00B50006"/>
    <w:rsid w:val="00B5198F"/>
    <w:rsid w:val="00B53745"/>
    <w:rsid w:val="00B752BA"/>
    <w:rsid w:val="00C02110"/>
    <w:rsid w:val="00C05B75"/>
    <w:rsid w:val="00C31F21"/>
    <w:rsid w:val="00C3519E"/>
    <w:rsid w:val="00C42762"/>
    <w:rsid w:val="00C47FD3"/>
    <w:rsid w:val="00C52996"/>
    <w:rsid w:val="00C5626B"/>
    <w:rsid w:val="00C737E7"/>
    <w:rsid w:val="00CA45B0"/>
    <w:rsid w:val="00CA4D9C"/>
    <w:rsid w:val="00CA5807"/>
    <w:rsid w:val="00CC02E3"/>
    <w:rsid w:val="00CC6279"/>
    <w:rsid w:val="00CF7F62"/>
    <w:rsid w:val="00D325F0"/>
    <w:rsid w:val="00D564DE"/>
    <w:rsid w:val="00DA2E24"/>
    <w:rsid w:val="00DB13F0"/>
    <w:rsid w:val="00DC26F6"/>
    <w:rsid w:val="00DD5E3D"/>
    <w:rsid w:val="00DE261C"/>
    <w:rsid w:val="00DF6841"/>
    <w:rsid w:val="00E150B0"/>
    <w:rsid w:val="00E32AA2"/>
    <w:rsid w:val="00E33E00"/>
    <w:rsid w:val="00E369A7"/>
    <w:rsid w:val="00E44B87"/>
    <w:rsid w:val="00E54C71"/>
    <w:rsid w:val="00E5569A"/>
    <w:rsid w:val="00E607E5"/>
    <w:rsid w:val="00E6393B"/>
    <w:rsid w:val="00EA13EC"/>
    <w:rsid w:val="00EB180C"/>
    <w:rsid w:val="00EB25D6"/>
    <w:rsid w:val="00EC4CC4"/>
    <w:rsid w:val="00F242C3"/>
    <w:rsid w:val="00F345CE"/>
    <w:rsid w:val="00F64A35"/>
    <w:rsid w:val="00F70414"/>
    <w:rsid w:val="00F855BD"/>
    <w:rsid w:val="00F958FA"/>
    <w:rsid w:val="00FD13F5"/>
    <w:rsid w:val="00FD5234"/>
    <w:rsid w:val="00FE1A78"/>
    <w:rsid w:val="00FE2C8F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3984764-55DD-4542-A76C-3C70A338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table" w:customStyle="1" w:styleId="TableGrid2">
    <w:name w:val="Table Grid2"/>
    <w:basedOn w:val="TableNormal"/>
    <w:next w:val="TableGrid0"/>
    <w:uiPriority w:val="39"/>
    <w:rsid w:val="00E55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avula1@comcast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nifestinvesting.com/dashboards/public/74KV7L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nifestinvesting.com/dashboards/public/PF79C2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KJQJDP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1810-8386-4890-8FF7-B2F0094B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1828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RichA</cp:lastModifiedBy>
  <cp:revision>11</cp:revision>
  <cp:lastPrinted>2020-01-18T02:17:00Z</cp:lastPrinted>
  <dcterms:created xsi:type="dcterms:W3CDTF">2020-01-17T16:27:00Z</dcterms:created>
  <dcterms:modified xsi:type="dcterms:W3CDTF">2020-01-19T16:30:00Z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