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07DED" w14:textId="77777777"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4FD1D298" wp14:editId="3F88E4C4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14:paraId="626BCD9B" w14:textId="77777777"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proofErr w:type="spellStart"/>
      <w:r w:rsidR="009E433D">
        <w:rPr>
          <w:rStyle w:val="Heading1Char"/>
          <w:b/>
        </w:rPr>
        <w:t>CinMIC</w:t>
      </w:r>
      <w:proofErr w:type="spellEnd"/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14:paraId="5CBB8B59" w14:textId="2473E040" w:rsidR="00FE16DB" w:rsidRDefault="005F7568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>
        <w:rPr>
          <w:sz w:val="24"/>
          <w:szCs w:val="24"/>
        </w:rPr>
        <w:t>M</w:t>
      </w:r>
      <w:r w:rsidR="00BD0B95">
        <w:rPr>
          <w:sz w:val="24"/>
          <w:szCs w:val="24"/>
        </w:rPr>
        <w:t>inutes</w:t>
      </w:r>
      <w:r w:rsidR="00CD5D3A" w:rsidRPr="00FE16DB">
        <w:rPr>
          <w:sz w:val="24"/>
          <w:szCs w:val="24"/>
        </w:rPr>
        <w:t xml:space="preserve"> for Sat. </w:t>
      </w:r>
      <w:r w:rsidR="002C1E00">
        <w:rPr>
          <w:sz w:val="24"/>
          <w:szCs w:val="24"/>
        </w:rPr>
        <w:t>June 20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14:paraId="21DDBF95" w14:textId="77777777"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14:paraId="530B8055" w14:textId="77777777"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667"/>
        <w:gridCol w:w="1466"/>
        <w:gridCol w:w="1600"/>
        <w:gridCol w:w="1538"/>
        <w:gridCol w:w="980"/>
        <w:gridCol w:w="1073"/>
        <w:gridCol w:w="1269"/>
      </w:tblGrid>
      <w:tr w:rsidR="00310A84" w14:paraId="3EE34381" w14:textId="77777777" w:rsidTr="00B71CD8">
        <w:trPr>
          <w:trHeight w:val="206"/>
          <w:jc w:val="center"/>
        </w:trPr>
        <w:tc>
          <w:tcPr>
            <w:tcW w:w="2245" w:type="dxa"/>
            <w:vAlign w:val="center"/>
          </w:tcPr>
          <w:p w14:paraId="7B472879" w14:textId="6704B834" w:rsidR="00310A84" w:rsidRPr="00F07D34" w:rsidRDefault="00310A8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11527" w:type="dxa"/>
            <w:gridSpan w:val="7"/>
            <w:vAlign w:val="center"/>
          </w:tcPr>
          <w:p w14:paraId="73E8A3DD" w14:textId="2366891D" w:rsidR="00897C30" w:rsidRPr="002A219B" w:rsidRDefault="00897C30" w:rsidP="007C2946">
            <w:pPr>
              <w:pStyle w:val="NoSpacing"/>
              <w:rPr>
                <w:rFonts w:eastAsia="Times New Roman" w:cs="Times New Roman"/>
              </w:rPr>
            </w:pPr>
          </w:p>
        </w:tc>
      </w:tr>
      <w:tr w:rsidR="00310A84" w14:paraId="5429C844" w14:textId="77777777" w:rsidTr="00B71CD8">
        <w:trPr>
          <w:trHeight w:val="386"/>
          <w:jc w:val="center"/>
        </w:trPr>
        <w:tc>
          <w:tcPr>
            <w:tcW w:w="2245" w:type="dxa"/>
            <w:vAlign w:val="center"/>
          </w:tcPr>
          <w:p w14:paraId="2FA18D32" w14:textId="4D03013F" w:rsidR="00310A84" w:rsidRPr="00F07D34" w:rsidRDefault="00310A84" w:rsidP="007E1859">
            <w:pPr>
              <w:pStyle w:val="NoSpacing"/>
              <w:rPr>
                <w:color w:val="auto"/>
              </w:rPr>
            </w:pPr>
          </w:p>
        </w:tc>
        <w:tc>
          <w:tcPr>
            <w:tcW w:w="11527" w:type="dxa"/>
            <w:gridSpan w:val="7"/>
            <w:vAlign w:val="center"/>
          </w:tcPr>
          <w:p w14:paraId="742D9467" w14:textId="77777777" w:rsidR="00764E58" w:rsidRDefault="00764E58" w:rsidP="00764E58">
            <w:pPr>
              <w:ind w:left="720"/>
              <w:jc w:val="center"/>
              <w:rPr>
                <w:rFonts w:eastAsia="Times New Roman" w:cs="Times New Roman"/>
                <w:b/>
                <w:color w:val="0000FF"/>
                <w:sz w:val="18"/>
                <w:szCs w:val="18"/>
                <w:u w:val="single"/>
              </w:rPr>
            </w:pPr>
          </w:p>
          <w:tbl>
            <w:tblPr>
              <w:tblStyle w:val="TableGrid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5"/>
              <w:gridCol w:w="8672"/>
            </w:tblGrid>
            <w:tr w:rsidR="00764E58" w14:paraId="1C4159FC" w14:textId="77777777" w:rsidTr="00B71CD8">
              <w:trPr>
                <w:trHeight w:val="360"/>
                <w:jc w:val="center"/>
              </w:trPr>
              <w:tc>
                <w:tcPr>
                  <w:tcW w:w="1594" w:type="dxa"/>
                  <w:vAlign w:val="center"/>
                </w:tcPr>
                <w:p w14:paraId="13A31ECB" w14:textId="77777777" w:rsidR="00764E58" w:rsidRPr="00F07D34" w:rsidRDefault="00764E58" w:rsidP="00764E58">
                  <w:pPr>
                    <w:pStyle w:val="NoSpacing"/>
                    <w:rPr>
                      <w:color w:val="auto"/>
                    </w:rPr>
                  </w:pPr>
                  <w:r w:rsidRPr="00F07D34">
                    <w:rPr>
                      <w:rFonts w:eastAsia="Times New Roman" w:cs="Times New Roman"/>
                      <w:b/>
                      <w:color w:val="auto"/>
                    </w:rPr>
                    <w:t>9:4</w:t>
                  </w:r>
                  <w:r>
                    <w:rPr>
                      <w:rFonts w:eastAsia="Times New Roman" w:cs="Times New Roman"/>
                      <w:b/>
                      <w:color w:val="auto"/>
                    </w:rPr>
                    <w:t>9</w:t>
                  </w:r>
                  <w:r w:rsidRPr="00F07D34">
                    <w:rPr>
                      <w:rFonts w:eastAsia="Times New Roman" w:cs="Times New Roman"/>
                      <w:b/>
                      <w:color w:val="auto"/>
                    </w:rPr>
                    <w:t xml:space="preserve"> Call to Order:</w:t>
                  </w:r>
                  <w:r w:rsidRPr="00F07D34">
                    <w:rPr>
                      <w:rFonts w:eastAsia="Times New Roman" w:cs="Times New Roman"/>
                      <w:color w:val="auto"/>
                    </w:rPr>
                    <w:t xml:space="preserve">  </w:t>
                  </w:r>
                </w:p>
              </w:tc>
              <w:tc>
                <w:tcPr>
                  <w:tcW w:w="10482" w:type="dxa"/>
                  <w:vAlign w:val="center"/>
                </w:tcPr>
                <w:p w14:paraId="73E11075" w14:textId="77777777" w:rsidR="00764E58" w:rsidRPr="002A219B" w:rsidRDefault="00764E58" w:rsidP="00764E58">
                  <w:pPr>
                    <w:pStyle w:val="NoSpacing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Rich Alden, Presiding Partner, greeting, attendance, proxies, note guests present and on web. RECORD</w:t>
                  </w:r>
                </w:p>
              </w:tc>
            </w:tr>
            <w:tr w:rsidR="00764E58" w14:paraId="121DFF0B" w14:textId="77777777" w:rsidTr="00B71CD8">
              <w:trPr>
                <w:trHeight w:val="386"/>
                <w:jc w:val="center"/>
              </w:trPr>
              <w:tc>
                <w:tcPr>
                  <w:tcW w:w="1594" w:type="dxa"/>
                  <w:vAlign w:val="center"/>
                </w:tcPr>
                <w:p w14:paraId="1225C73B" w14:textId="77777777" w:rsidR="00764E58" w:rsidRPr="00F07D34" w:rsidRDefault="00764E58" w:rsidP="00764E58">
                  <w:pPr>
                    <w:pStyle w:val="NoSpacing"/>
                    <w:rPr>
                      <w:color w:val="auto"/>
                    </w:rPr>
                  </w:pPr>
                </w:p>
              </w:tc>
              <w:tc>
                <w:tcPr>
                  <w:tcW w:w="10482" w:type="dxa"/>
                  <w:vAlign w:val="center"/>
                </w:tcPr>
                <w:p w14:paraId="4E58DC21" w14:textId="77777777" w:rsidR="00764E58" w:rsidRDefault="00764E58" w:rsidP="00764E58">
                  <w:pPr>
                    <w:pStyle w:val="NoSpacing"/>
                    <w:rPr>
                      <w:rFonts w:eastAsia="Times New Roman" w:cs="Times New Roman"/>
                      <w:color w:val="auto"/>
                    </w:rPr>
                  </w:pPr>
                </w:p>
                <w:p w14:paraId="562CDABD" w14:textId="65F115CB" w:rsidR="00764E58" w:rsidRDefault="00764E58" w:rsidP="00764E58">
                  <w:pPr>
                    <w:widowControl w:val="0"/>
                    <w:rPr>
                      <w:rFonts w:cstheme="minorHAnsi"/>
                      <w:b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lang w:val="en"/>
                    </w:rPr>
                    <w:t xml:space="preserve">Guests on Webinar: </w:t>
                  </w:r>
                  <w:r w:rsidR="00F95C29">
                    <w:rPr>
                      <w:rFonts w:cstheme="minorHAnsi"/>
                      <w:b/>
                      <w:lang w:val="en"/>
                    </w:rPr>
                    <w:t xml:space="preserve">Susan </w:t>
                  </w:r>
                  <w:proofErr w:type="spellStart"/>
                  <w:r w:rsidR="00F95C29">
                    <w:rPr>
                      <w:rFonts w:cstheme="minorHAnsi"/>
                      <w:b/>
                      <w:lang w:val="en"/>
                    </w:rPr>
                    <w:t>Tanoe</w:t>
                  </w:r>
                  <w:proofErr w:type="spellEnd"/>
                  <w:r w:rsidR="00F95C29">
                    <w:rPr>
                      <w:rFonts w:cstheme="minorHAnsi"/>
                      <w:b/>
                      <w:lang w:val="en"/>
                    </w:rPr>
                    <w:t>, Linda Miller, Joe Farrell, Sharon Lind</w:t>
                  </w:r>
                  <w:r w:rsidR="001D1646">
                    <w:rPr>
                      <w:rFonts w:cstheme="minorHAnsi"/>
                      <w:b/>
                      <w:lang w:val="en"/>
                    </w:rPr>
                    <w:t>q</w:t>
                  </w:r>
                  <w:r w:rsidR="00F95C29">
                    <w:rPr>
                      <w:rFonts w:cstheme="minorHAnsi"/>
                      <w:b/>
                      <w:lang w:val="en"/>
                    </w:rPr>
                    <w:t xml:space="preserve">uist Skelly, Lawrence </w:t>
                  </w:r>
                  <w:proofErr w:type="spellStart"/>
                  <w:r w:rsidR="00F95C29">
                    <w:rPr>
                      <w:rFonts w:cstheme="minorHAnsi"/>
                      <w:b/>
                      <w:lang w:val="en"/>
                    </w:rPr>
                    <w:t>Averbeck</w:t>
                  </w:r>
                  <w:proofErr w:type="spellEnd"/>
                  <w:r w:rsidR="00F95C29">
                    <w:rPr>
                      <w:rFonts w:cstheme="minorHAnsi"/>
                      <w:b/>
                      <w:lang w:val="en"/>
                    </w:rPr>
                    <w:t xml:space="preserve">,   </w:t>
                  </w:r>
                </w:p>
                <w:p w14:paraId="2D5D0E76" w14:textId="7A01A6FB" w:rsidR="00F95C29" w:rsidRDefault="00F95C29" w:rsidP="00764E58">
                  <w:pPr>
                    <w:widowControl w:val="0"/>
                    <w:rPr>
                      <w:rFonts w:cstheme="minorHAnsi"/>
                      <w:b/>
                      <w:lang w:val="en"/>
                    </w:rPr>
                  </w:pPr>
                  <w:r>
                    <w:rPr>
                      <w:rFonts w:cstheme="minorHAnsi"/>
                      <w:b/>
                      <w:lang w:val="en"/>
                    </w:rPr>
                    <w:t xml:space="preserve">                                   Ian Barnes, Tom </w:t>
                  </w:r>
                  <w:proofErr w:type="spellStart"/>
                  <w:r>
                    <w:rPr>
                      <w:rFonts w:cstheme="minorHAnsi"/>
                      <w:b/>
                      <w:lang w:val="en"/>
                    </w:rPr>
                    <w:t>Howko</w:t>
                  </w:r>
                  <w:proofErr w:type="spellEnd"/>
                  <w:r>
                    <w:rPr>
                      <w:rFonts w:cstheme="minorHAnsi"/>
                      <w:b/>
                      <w:lang w:val="en"/>
                    </w:rPr>
                    <w:t>, Mike Higgins</w:t>
                  </w:r>
                </w:p>
                <w:p w14:paraId="01567B80" w14:textId="6DCC9086" w:rsidR="00F95C29" w:rsidRDefault="00F95C29" w:rsidP="00764E58">
                  <w:pPr>
                    <w:widowControl w:val="0"/>
                    <w:rPr>
                      <w:rFonts w:cstheme="minorHAnsi"/>
                      <w:b/>
                      <w:lang w:val="en"/>
                    </w:rPr>
                  </w:pPr>
                </w:p>
                <w:p w14:paraId="5BD15945" w14:textId="77777777" w:rsidR="00F95C29" w:rsidRPr="00A525C3" w:rsidRDefault="00F95C29" w:rsidP="00764E58">
                  <w:pPr>
                    <w:widowControl w:val="0"/>
                    <w:rPr>
                      <w:rFonts w:cstheme="minorHAnsi"/>
                      <w:lang w:val="en"/>
                    </w:rPr>
                  </w:pPr>
                </w:p>
                <w:tbl>
                  <w:tblPr>
                    <w:tblW w:w="10255" w:type="dxa"/>
                    <w:tblInd w:w="1" w:type="dxa"/>
                    <w:tblBorders>
                      <w:top w:val="single" w:sz="2" w:space="0" w:color="000001"/>
                      <w:left w:val="single" w:sz="2" w:space="0" w:color="000001"/>
                      <w:bottom w:val="single" w:sz="2" w:space="0" w:color="000001"/>
                      <w:right w:val="single" w:sz="2" w:space="0" w:color="000001"/>
                      <w:insideH w:val="single" w:sz="2" w:space="0" w:color="000001"/>
                      <w:insideV w:val="single" w:sz="2" w:space="0" w:color="000001"/>
                    </w:tblBorders>
                    <w:tblCellMar>
                      <w:left w:w="10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36"/>
                    <w:gridCol w:w="990"/>
                    <w:gridCol w:w="1170"/>
                    <w:gridCol w:w="2788"/>
                    <w:gridCol w:w="810"/>
                    <w:gridCol w:w="1261"/>
                  </w:tblGrid>
                  <w:tr w:rsidR="00764E58" w:rsidRPr="00A525C3" w14:paraId="4F876AE7" w14:textId="77777777" w:rsidTr="00186DEE">
                    <w:trPr>
                      <w:trHeight w:val="1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11D071FC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b/>
                            <w:bCs/>
                            <w:lang w:val="en"/>
                          </w:rPr>
                          <w:t>Name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04B1848D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b/>
                            <w:bCs/>
                            <w:lang w:val="en"/>
                          </w:rPr>
                          <w:t>Here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2936CAF3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b/>
                            <w:bCs/>
                            <w:lang w:val="en"/>
                          </w:rPr>
                          <w:t>Proxy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361488D2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b/>
                            <w:bCs/>
                            <w:lang w:val="en"/>
                          </w:rPr>
                          <w:t>Name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4CD1B123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b/>
                            <w:bCs/>
                            <w:lang w:val="en"/>
                          </w:rPr>
                          <w:t>Here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2385652E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b/>
                            <w:bCs/>
                            <w:lang w:val="en"/>
                          </w:rPr>
                          <w:t>Proxy</w:t>
                        </w:r>
                      </w:p>
                    </w:tc>
                  </w:tr>
                  <w:tr w:rsidR="00764E58" w:rsidRPr="00A525C3" w14:paraId="47735FA1" w14:textId="77777777" w:rsidTr="00186DEE">
                    <w:trPr>
                      <w:trHeight w:val="251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191D0DEA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Jackie Koski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0AAB965D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3B424C8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60F3F2EF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 xml:space="preserve">Harrison </w:t>
                        </w:r>
                        <w:proofErr w:type="spellStart"/>
                        <w:r w:rsidRPr="00A525C3">
                          <w:rPr>
                            <w:rFonts w:cstheme="minorHAnsi"/>
                            <w:lang w:val="en"/>
                          </w:rPr>
                          <w:t>Baumbaugh</w:t>
                        </w:r>
                        <w:proofErr w:type="spellEnd"/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09BB926B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BECD34E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</w:tr>
                  <w:tr w:rsidR="00764E58" w:rsidRPr="00A525C3" w14:paraId="531BA593" w14:textId="77777777" w:rsidTr="00186DEE">
                    <w:trPr>
                      <w:trHeight w:val="1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30288CEA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Betsy Eller, Financial Partner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1EB2B64A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49080116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531E786A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Mary Thomas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52FE6907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05100850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</w:tr>
                  <w:tr w:rsidR="00764E58" w:rsidRPr="00A525C3" w14:paraId="07CCD9CC" w14:textId="77777777" w:rsidTr="00186DEE">
                    <w:trPr>
                      <w:trHeight w:val="1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66ABE14D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Craig Jacobsen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6AEF2C33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47F8993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5BCDBFB7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Gregg Hopkins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F40BE4C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1D15C3F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</w:tr>
                  <w:tr w:rsidR="00764E58" w:rsidRPr="00A525C3" w14:paraId="04DB70D6" w14:textId="77777777" w:rsidTr="00186DEE">
                    <w:trPr>
                      <w:trHeight w:val="170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58CC12CB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 xml:space="preserve">Marty </w:t>
                        </w:r>
                        <w:proofErr w:type="spellStart"/>
                        <w:r w:rsidRPr="00A525C3">
                          <w:rPr>
                            <w:rFonts w:cstheme="minorHAnsi"/>
                            <w:lang w:val="en"/>
                          </w:rPr>
                          <w:t>Eckerle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27F9CB9E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35052605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21905B72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Nelson Page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3A10DEC9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343F8B9A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</w:tr>
                  <w:tr w:rsidR="00764E58" w:rsidRPr="00A525C3" w14:paraId="6B3DC250" w14:textId="77777777" w:rsidTr="00186DEE">
                    <w:trPr>
                      <w:trHeight w:val="1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18465B4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 xml:space="preserve">Gerry </w:t>
                        </w:r>
                        <w:proofErr w:type="spellStart"/>
                        <w:r w:rsidRPr="00A525C3">
                          <w:rPr>
                            <w:rFonts w:cstheme="minorHAnsi"/>
                            <w:lang w:val="en"/>
                          </w:rPr>
                          <w:t>Geverdt</w:t>
                        </w:r>
                        <w:proofErr w:type="spellEnd"/>
                        <w:r w:rsidRPr="00A525C3">
                          <w:rPr>
                            <w:rFonts w:cstheme="minorHAnsi"/>
                            <w:lang w:val="e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F3EB1C8" w14:textId="4D92AFB3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23374E8D" w14:textId="2D2ED6F8" w:rsidR="00764E58" w:rsidRPr="00A525C3" w:rsidRDefault="00B71CD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  <w:r>
                          <w:rPr>
                            <w:rFonts w:cstheme="minorHAnsi"/>
                            <w:lang w:val="en"/>
                          </w:rPr>
                          <w:t>---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1BCD4BAB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 xml:space="preserve">Michele </w:t>
                        </w:r>
                        <w:proofErr w:type="spellStart"/>
                        <w:r w:rsidRPr="00A525C3">
                          <w:rPr>
                            <w:rFonts w:cstheme="minorHAnsi"/>
                            <w:lang w:val="en"/>
                          </w:rPr>
                          <w:t>Grinoch</w:t>
                        </w:r>
                        <w:proofErr w:type="spellEnd"/>
                        <w:r w:rsidRPr="00A525C3">
                          <w:rPr>
                            <w:rFonts w:cstheme="minorHAnsi"/>
                            <w:lang w:val="e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2DDCADCC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t>web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06043A50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64E58" w:rsidRPr="00A525C3" w14:paraId="69875EC0" w14:textId="77777777" w:rsidTr="00186DEE">
                    <w:trPr>
                      <w:trHeight w:val="69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3B545A31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Dene Alden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2E14EFA1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439C78E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67A98B25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Kate Lester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6E4BEE51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2029E7F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</w:tr>
                  <w:tr w:rsidR="00764E58" w:rsidRPr="00A525C3" w14:paraId="65F153B1" w14:textId="77777777" w:rsidTr="00186DEE">
                    <w:trPr>
                      <w:trHeight w:val="1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094AEC41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Richard Alden, Presiding Partner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1A5640CC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A009B03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0447B82E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>
                          <w:rPr>
                            <w:rFonts w:cstheme="minorHAnsi"/>
                            <w:lang w:val="en"/>
                          </w:rPr>
                          <w:t>Eugene Burnette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4E717A60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270A185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</w:tr>
                  <w:tr w:rsidR="00764E58" w:rsidRPr="00A525C3" w14:paraId="075A0CF2" w14:textId="77777777" w:rsidTr="00186DEE">
                    <w:trPr>
                      <w:trHeight w:val="305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6248830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Cheryl Hargett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2897FF0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web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1FFE069C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6F506237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9D4C61F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2C19410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</w:tr>
                  <w:tr w:rsidR="00764E58" w:rsidRPr="00A525C3" w14:paraId="27EBECEF" w14:textId="77777777" w:rsidTr="00186DEE">
                    <w:trPr>
                      <w:trHeight w:val="305"/>
                    </w:trPr>
                    <w:tc>
                      <w:tcPr>
                        <w:tcW w:w="3236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24AF5F61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  <w:r w:rsidRPr="00A525C3">
                          <w:rPr>
                            <w:rFonts w:cstheme="minorHAnsi"/>
                            <w:lang w:val="en"/>
                          </w:rPr>
                          <w:t>Bill Meehan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76EAE04E" w14:textId="28CF2DDA" w:rsidR="00764E58" w:rsidRPr="00A525C3" w:rsidRDefault="00B71CD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  <w:r>
                          <w:rPr>
                            <w:rFonts w:cstheme="minorHAnsi"/>
                            <w:lang w:val="en"/>
                          </w:rPr>
                          <w:t>web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2BAC08E6" w14:textId="7F68475E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2788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01DE1D13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410E1A40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000000" w:fill="FFFFFF"/>
                        <w:tcMar>
                          <w:left w:w="102" w:type="dxa"/>
                        </w:tcMar>
                      </w:tcPr>
                      <w:p w14:paraId="5511D381" w14:textId="77777777" w:rsidR="00764E58" w:rsidRPr="00A525C3" w:rsidRDefault="00764E58" w:rsidP="00764E5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theme="minorHAnsi"/>
                            <w:lang w:val="en"/>
                          </w:rPr>
                        </w:pPr>
                      </w:p>
                    </w:tc>
                  </w:tr>
                </w:tbl>
                <w:p w14:paraId="20ED43F9" w14:textId="77777777" w:rsidR="00764E58" w:rsidRPr="00A525C3" w:rsidRDefault="00764E58" w:rsidP="00764E58">
                  <w:pPr>
                    <w:widowControl w:val="0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Note: Parentheses denote provisional presence or proxies should members not be present for the full meeting</w:t>
                  </w:r>
                </w:p>
                <w:p w14:paraId="4955754F" w14:textId="7C0D4DAD" w:rsidR="00764E58" w:rsidRDefault="00764E58" w:rsidP="00764E58">
                  <w:pPr>
                    <w:pStyle w:val="NoSpacing"/>
                    <w:rPr>
                      <w:rFonts w:eastAsia="Times New Roman" w:cs="Times New Roman"/>
                      <w:color w:val="auto"/>
                    </w:rPr>
                  </w:pPr>
                  <w:r w:rsidRPr="00054A96">
                    <w:rPr>
                      <w:rFonts w:eastAsia="Times New Roman" w:cs="Times New Roman"/>
                      <w:color w:val="auto"/>
                    </w:rPr>
                    <w:t xml:space="preserve">Minutes for </w:t>
                  </w:r>
                  <w:r w:rsidR="00E00EED">
                    <w:rPr>
                      <w:rFonts w:eastAsia="Times New Roman" w:cs="Times New Roman"/>
                      <w:color w:val="auto"/>
                    </w:rPr>
                    <w:t>May</w:t>
                  </w:r>
                  <w:r>
                    <w:rPr>
                      <w:rFonts w:eastAsia="Times New Roman" w:cs="Times New Roman"/>
                      <w:color w:val="auto"/>
                    </w:rPr>
                    <w:t xml:space="preserve"> 1</w:t>
                  </w:r>
                  <w:r w:rsidR="00E00EED">
                    <w:rPr>
                      <w:rFonts w:eastAsia="Times New Roman" w:cs="Times New Roman"/>
                      <w:color w:val="auto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</w:rPr>
                    <w:t xml:space="preserve">, 2020 meeting posted to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</w:rPr>
                    <w:t>bivio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</w:rPr>
                    <w:t xml:space="preserve"> on M</w:t>
                  </w:r>
                  <w:r w:rsidR="00E00EED">
                    <w:rPr>
                      <w:rFonts w:eastAsia="Times New Roman" w:cs="Times New Roman"/>
                      <w:color w:val="auto"/>
                    </w:rPr>
                    <w:t>ay</w:t>
                  </w:r>
                  <w:r w:rsidR="00F95C29">
                    <w:rPr>
                      <w:rFonts w:eastAsia="Times New Roman" w:cs="Times New Roman"/>
                      <w:color w:val="auto"/>
                    </w:rPr>
                    <w:t xml:space="preserve"> 18</w:t>
                  </w:r>
                  <w:r w:rsidRPr="00054A96">
                    <w:rPr>
                      <w:rFonts w:eastAsia="Times New Roman" w:cs="Times New Roman"/>
                      <w:color w:val="auto"/>
                    </w:rPr>
                    <w:t xml:space="preserve">. </w:t>
                  </w:r>
                  <w:r w:rsidRPr="00BF4DB9">
                    <w:rPr>
                      <w:rFonts w:eastAsia="Times New Roman" w:cs="Times New Roman"/>
                      <w:color w:val="auto"/>
                    </w:rPr>
                    <w:t xml:space="preserve">Corrections </w:t>
                  </w:r>
                  <w:r>
                    <w:rPr>
                      <w:rFonts w:eastAsia="Times New Roman" w:cs="Times New Roman"/>
                      <w:color w:val="auto"/>
                    </w:rPr>
                    <w:t>or additions?</w:t>
                  </w:r>
                </w:p>
                <w:p w14:paraId="6E8226F9" w14:textId="77777777" w:rsidR="00764E58" w:rsidRPr="00A82FE2" w:rsidRDefault="00764E58" w:rsidP="00764E58">
                  <w:pPr>
                    <w:pStyle w:val="NoSpacing"/>
                    <w:rPr>
                      <w:rFonts w:eastAsia="Times New Roman" w:cs="Times New Roman"/>
                      <w:color w:val="auto"/>
                    </w:rPr>
                  </w:pPr>
                </w:p>
              </w:tc>
            </w:tr>
          </w:tbl>
          <w:p w14:paraId="63B28F21" w14:textId="5322AC01" w:rsidR="00A82FE2" w:rsidRPr="00A82FE2" w:rsidRDefault="00A82FE2" w:rsidP="00CE0C5A">
            <w:pPr>
              <w:pStyle w:val="NoSpacing"/>
              <w:rPr>
                <w:rFonts w:eastAsia="Times New Roman" w:cs="Times New Roman"/>
                <w:color w:val="auto"/>
              </w:rPr>
            </w:pPr>
          </w:p>
        </w:tc>
      </w:tr>
      <w:tr w:rsidR="00310A84" w14:paraId="705F0F49" w14:textId="77777777" w:rsidTr="00B71CD8">
        <w:trPr>
          <w:trHeight w:val="360"/>
          <w:jc w:val="center"/>
        </w:trPr>
        <w:tc>
          <w:tcPr>
            <w:tcW w:w="2245" w:type="dxa"/>
            <w:vAlign w:val="center"/>
          </w:tcPr>
          <w:p w14:paraId="61F4CC64" w14:textId="77777777"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11527" w:type="dxa"/>
            <w:gridSpan w:val="7"/>
            <w:vAlign w:val="center"/>
          </w:tcPr>
          <w:p w14:paraId="0752038E" w14:textId="7FE6F56E" w:rsidR="007D066D" w:rsidRPr="008250C4" w:rsidRDefault="00985731" w:rsidP="007D066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 w:rsidRPr="00AC5B03">
              <w:rPr>
                <w:color w:val="auto"/>
              </w:rPr>
              <w:t xml:space="preserve">balance </w:t>
            </w:r>
            <w:r w:rsidR="00887076" w:rsidRPr="00AC5B03">
              <w:rPr>
                <w:color w:val="auto"/>
              </w:rPr>
              <w:t>$</w:t>
            </w:r>
            <w:r w:rsidR="008A2B35">
              <w:rPr>
                <w:color w:val="auto"/>
              </w:rPr>
              <w:t>8443.50</w:t>
            </w:r>
            <w:r w:rsidR="00AC5B03" w:rsidRPr="00AC5B03">
              <w:rPr>
                <w:color w:val="auto"/>
              </w:rPr>
              <w:t>,</w:t>
            </w:r>
            <w:r w:rsidR="002C1E00">
              <w:rPr>
                <w:color w:val="auto"/>
              </w:rPr>
              <w:t xml:space="preserve"> withdrawal balance is </w:t>
            </w:r>
            <w:proofErr w:type="gramStart"/>
            <w:r w:rsidR="002C1E00">
              <w:rPr>
                <w:color w:val="auto"/>
              </w:rPr>
              <w:t>$</w:t>
            </w:r>
            <w:r w:rsidR="008A2B35">
              <w:rPr>
                <w:color w:val="auto"/>
              </w:rPr>
              <w:t>5739.03</w:t>
            </w:r>
            <w:r w:rsidR="00BB5DBE" w:rsidRPr="00AC5B03">
              <w:rPr>
                <w:color w:val="auto"/>
              </w:rPr>
              <w:t>;</w:t>
            </w:r>
            <w:proofErr w:type="gramEnd"/>
            <w:r w:rsidR="00F23FB6" w:rsidRPr="00AC5B03">
              <w:rPr>
                <w:color w:val="auto"/>
              </w:rPr>
              <w:t xml:space="preserve"> </w:t>
            </w:r>
            <w:r w:rsidR="00F23FB6">
              <w:rPr>
                <w:color w:val="auto"/>
              </w:rPr>
              <w:t>file for audit</w:t>
            </w:r>
            <w:r w:rsidR="006D2A0A">
              <w:rPr>
                <w:color w:val="auto"/>
              </w:rPr>
              <w:t>.</w:t>
            </w:r>
            <w:r w:rsidR="00D24FF7">
              <w:rPr>
                <w:color w:val="auto"/>
              </w:rPr>
              <w:t xml:space="preserve"> </w:t>
            </w:r>
            <w:r w:rsidR="006C7810">
              <w:rPr>
                <w:color w:val="auto"/>
              </w:rPr>
              <w:t>Limi</w:t>
            </w:r>
            <w:r w:rsidR="006C7810" w:rsidRPr="00FD0021">
              <w:rPr>
                <w:color w:val="auto"/>
              </w:rPr>
              <w:t>t order</w:t>
            </w:r>
            <w:r w:rsidR="00FD0021" w:rsidRPr="00FD0021">
              <w:rPr>
                <w:color w:val="auto"/>
              </w:rPr>
              <w:t>s</w:t>
            </w:r>
            <w:r w:rsidR="006C7810" w:rsidRPr="00FD0021">
              <w:rPr>
                <w:color w:val="auto"/>
              </w:rPr>
              <w:t xml:space="preserve"> in place for 5sh</w:t>
            </w:r>
            <w:r w:rsidR="00FD0021" w:rsidRPr="00FD0021">
              <w:rPr>
                <w:color w:val="auto"/>
              </w:rPr>
              <w:t xml:space="preserve"> of ILMN @$241.50</w:t>
            </w:r>
            <w:r w:rsidR="00767A81">
              <w:rPr>
                <w:color w:val="auto"/>
              </w:rPr>
              <w:t>/sh;</w:t>
            </w:r>
            <w:r w:rsidR="00FD0021" w:rsidRPr="00FD0021">
              <w:rPr>
                <w:color w:val="auto"/>
              </w:rPr>
              <w:t xml:space="preserve"> 10sh of V for $150.00/sh.</w:t>
            </w:r>
          </w:p>
        </w:tc>
      </w:tr>
      <w:tr w:rsidR="002B6A94" w:rsidRPr="002B6A94" w14:paraId="5DB8475C" w14:textId="77777777" w:rsidTr="00B71CD8">
        <w:trPr>
          <w:trHeight w:val="566"/>
          <w:jc w:val="center"/>
        </w:trPr>
        <w:tc>
          <w:tcPr>
            <w:tcW w:w="2245" w:type="dxa"/>
            <w:vAlign w:val="center"/>
          </w:tcPr>
          <w:p w14:paraId="09DA6646" w14:textId="77777777"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11527" w:type="dxa"/>
            <w:gridSpan w:val="7"/>
            <w:vAlign w:val="center"/>
          </w:tcPr>
          <w:p w14:paraId="1A923D8F" w14:textId="77777777" w:rsidR="002F23B5" w:rsidRDefault="002F23B5" w:rsidP="008844A0">
            <w:pPr>
              <w:pStyle w:val="NoSpacing"/>
              <w:rPr>
                <w:color w:val="auto"/>
              </w:rPr>
            </w:pPr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>- Virtual BINC 6/22/2020-6/25/2020 – check BI web site under ‘Upcoming Events’</w:t>
            </w:r>
            <w:r>
              <w:rPr>
                <w:color w:val="auto"/>
              </w:rPr>
              <w:t xml:space="preserve"> </w:t>
            </w:r>
          </w:p>
          <w:p w14:paraId="77505E47" w14:textId="77777777"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proofErr w:type="spellStart"/>
            <w:r w:rsidR="00E629AC" w:rsidRPr="002B6A94">
              <w:rPr>
                <w:color w:val="auto"/>
              </w:rPr>
              <w:t>BetterInvesting</w:t>
            </w:r>
            <w:proofErr w:type="spellEnd"/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14:paraId="613DC6FF" w14:textId="77777777"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14:paraId="1A08128F" w14:textId="77777777" w:rsidR="00085BD8" w:rsidRDefault="005045DA" w:rsidP="005045DA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 w:rsidR="00085BD8">
              <w:rPr>
                <w:rStyle w:val="Hyperlink"/>
              </w:rPr>
              <w:t>,</w:t>
            </w:r>
          </w:p>
          <w:p w14:paraId="42BCBD55" w14:textId="77777777" w:rsidR="00315BAB" w:rsidRPr="002F23B5" w:rsidRDefault="00085BD8" w:rsidP="00085BD8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5045DA">
              <w:rPr>
                <w:rFonts w:cs="Times New Roman"/>
                <w:color w:val="auto"/>
                <w:szCs w:val="20"/>
              </w:rPr>
              <w:t>P</w:t>
            </w:r>
            <w:r w:rsidR="005045DA"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="005045DA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5045DA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14:paraId="119E2EE1" w14:textId="77777777" w:rsidTr="00B71CD8">
        <w:tblPrEx>
          <w:jc w:val="left"/>
        </w:tblPrEx>
        <w:trPr>
          <w:trHeight w:val="377"/>
        </w:trPr>
        <w:tc>
          <w:tcPr>
            <w:tcW w:w="2245" w:type="dxa"/>
            <w:vAlign w:val="center"/>
          </w:tcPr>
          <w:p w14:paraId="01967A54" w14:textId="77777777"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11527" w:type="dxa"/>
            <w:gridSpan w:val="7"/>
            <w:vAlign w:val="center"/>
          </w:tcPr>
          <w:p w14:paraId="04DF9D32" w14:textId="77777777"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0E0773">
              <w:rPr>
                <w:color w:val="auto"/>
              </w:rPr>
              <w:t xml:space="preserve">resentation schedule – </w:t>
            </w:r>
            <w:r w:rsidR="005F72D0">
              <w:rPr>
                <w:color w:val="auto"/>
              </w:rPr>
              <w:t>revised, see below</w:t>
            </w:r>
          </w:p>
        </w:tc>
      </w:tr>
      <w:tr w:rsidR="00560FF4" w:rsidRPr="002B6A94" w14:paraId="33BD8594" w14:textId="77777777" w:rsidTr="00B71CD8">
        <w:tblPrEx>
          <w:jc w:val="left"/>
        </w:tblPrEx>
        <w:trPr>
          <w:trHeight w:val="386"/>
        </w:trPr>
        <w:tc>
          <w:tcPr>
            <w:tcW w:w="2245" w:type="dxa"/>
            <w:vAlign w:val="center"/>
          </w:tcPr>
          <w:p w14:paraId="7C79370C" w14:textId="77777777"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11527" w:type="dxa"/>
            <w:gridSpan w:val="7"/>
            <w:vAlign w:val="center"/>
          </w:tcPr>
          <w:p w14:paraId="5141C8F7" w14:textId="77777777" w:rsidR="001006FC" w:rsidRDefault="001006FC" w:rsidP="00C66C4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No mid-month meeting on July 4</w:t>
            </w:r>
          </w:p>
          <w:p w14:paraId="63C796A7" w14:textId="2C6FD56F" w:rsidR="00C66C4E" w:rsidRDefault="00CB3C77" w:rsidP="00C66C4E">
            <w:pPr>
              <w:pStyle w:val="NoSpacing"/>
              <w:rPr>
                <w:color w:val="auto"/>
              </w:rPr>
            </w:pPr>
            <w:r w:rsidRPr="00CB3C77">
              <w:rPr>
                <w:color w:val="auto"/>
              </w:rPr>
              <w:t>- Potential change in voting procedure</w:t>
            </w:r>
          </w:p>
          <w:p w14:paraId="0256AED0" w14:textId="77777777" w:rsidR="00EA579A" w:rsidRDefault="00EA579A" w:rsidP="00C66C4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Gerry’s situation – waiver?</w:t>
            </w:r>
          </w:p>
          <w:p w14:paraId="227A9F5F" w14:textId="5783AC77" w:rsidR="00F95C29" w:rsidRDefault="00F95C29" w:rsidP="00C66C4E">
            <w:pPr>
              <w:pStyle w:val="NoSpacing"/>
              <w:rPr>
                <w:color w:val="FF0000"/>
              </w:rPr>
            </w:pPr>
          </w:p>
          <w:p w14:paraId="717C4897" w14:textId="47F9B042" w:rsidR="008A2B35" w:rsidRDefault="008A2B35" w:rsidP="00C66C4E">
            <w:pPr>
              <w:pStyle w:val="NoSpacing"/>
              <w:rPr>
                <w:color w:val="FF0000"/>
              </w:rPr>
            </w:pPr>
          </w:p>
          <w:p w14:paraId="50EBA0ED" w14:textId="7A8992D7" w:rsidR="008A2B35" w:rsidRDefault="008A2B35" w:rsidP="00C66C4E">
            <w:pPr>
              <w:pStyle w:val="NoSpacing"/>
              <w:rPr>
                <w:color w:val="FF0000"/>
              </w:rPr>
            </w:pPr>
          </w:p>
          <w:p w14:paraId="0AD32DC8" w14:textId="614F5070" w:rsidR="008A2B35" w:rsidRDefault="008A2B35" w:rsidP="00C66C4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We have selected and voted on a</w:t>
            </w:r>
            <w:r w:rsidR="00F4526F">
              <w:rPr>
                <w:color w:val="FF0000"/>
              </w:rPr>
              <w:t xml:space="preserve"> change in the voting procedure. We will only count opposition and </w:t>
            </w:r>
            <w:proofErr w:type="spellStart"/>
            <w:r w:rsidR="00F4526F">
              <w:rPr>
                <w:color w:val="FF0000"/>
              </w:rPr>
              <w:t>absention</w:t>
            </w:r>
            <w:proofErr w:type="spellEnd"/>
            <w:r w:rsidR="00694C15">
              <w:rPr>
                <w:color w:val="FF0000"/>
              </w:rPr>
              <w:t xml:space="preserve"> votes</w:t>
            </w:r>
            <w:r w:rsidR="00F4526F">
              <w:rPr>
                <w:color w:val="FF0000"/>
              </w:rPr>
              <w:t>.</w:t>
            </w:r>
            <w:r w:rsidR="00694C15">
              <w:rPr>
                <w:color w:val="FF0000"/>
              </w:rPr>
              <w:t xml:space="preserve"> Unanimous vote.</w:t>
            </w:r>
          </w:p>
          <w:p w14:paraId="1FC7F4C3" w14:textId="55059689" w:rsidR="00F4526F" w:rsidRDefault="00F4526F" w:rsidP="00C66C4E">
            <w:pPr>
              <w:pStyle w:val="NoSpacing"/>
              <w:rPr>
                <w:color w:val="FF0000"/>
              </w:rPr>
            </w:pPr>
          </w:p>
          <w:p w14:paraId="526CDA5D" w14:textId="3501FE66" w:rsidR="00F4526F" w:rsidRDefault="00F4526F" w:rsidP="00C66C4E">
            <w:pPr>
              <w:pStyle w:val="NoSpacing"/>
              <w:rPr>
                <w:color w:val="FF0000"/>
              </w:rPr>
            </w:pPr>
          </w:p>
          <w:p w14:paraId="1E997619" w14:textId="2360D36B" w:rsidR="00F4526F" w:rsidRDefault="00F4526F" w:rsidP="00C66C4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Gerry has been given a waiver of 6 months from this meeting. Craig made a move to grant waiver and Gene 2</w:t>
            </w:r>
            <w:r w:rsidRPr="00694C15">
              <w:rPr>
                <w:color w:val="FF0000"/>
                <w:vertAlign w:val="superscript"/>
              </w:rPr>
              <w:t>nd</w:t>
            </w:r>
            <w:r w:rsidR="00694C15">
              <w:rPr>
                <w:color w:val="FF0000"/>
              </w:rPr>
              <w:t xml:space="preserve"> the waiver</w:t>
            </w:r>
          </w:p>
          <w:p w14:paraId="42353AFC" w14:textId="0F24B9A8" w:rsidR="00F4526F" w:rsidRDefault="00F4526F" w:rsidP="00C66C4E">
            <w:pPr>
              <w:pStyle w:val="NoSpacing"/>
              <w:rPr>
                <w:color w:val="FF0000"/>
              </w:rPr>
            </w:pPr>
          </w:p>
          <w:p w14:paraId="7AEB6639" w14:textId="5540C3C5" w:rsidR="00F95C29" w:rsidRPr="002C1E00" w:rsidRDefault="00F95C29" w:rsidP="00C66C4E">
            <w:pPr>
              <w:pStyle w:val="NoSpacing"/>
              <w:rPr>
                <w:color w:val="FF0000"/>
              </w:rPr>
            </w:pPr>
          </w:p>
        </w:tc>
      </w:tr>
      <w:tr w:rsidR="002B6A94" w:rsidRPr="002B6A94" w14:paraId="07BFD5BB" w14:textId="77777777" w:rsidTr="00B71CD8">
        <w:trPr>
          <w:trHeight w:val="377"/>
          <w:jc w:val="center"/>
        </w:trPr>
        <w:tc>
          <w:tcPr>
            <w:tcW w:w="2245" w:type="dxa"/>
            <w:vAlign w:val="center"/>
          </w:tcPr>
          <w:p w14:paraId="08BA55C3" w14:textId="77777777" w:rsidR="006B240E" w:rsidRPr="00CB3C77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CB3C77">
              <w:rPr>
                <w:rFonts w:eastAsia="Times New Roman" w:cs="Times New Roman"/>
                <w:b/>
                <w:color w:val="auto"/>
              </w:rPr>
              <w:t>10:15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C1E00" w:rsidRPr="00CB3C77">
              <w:rPr>
                <w:rFonts w:eastAsia="Times New Roman" w:cs="Times New Roman"/>
                <w:b/>
                <w:color w:val="auto"/>
              </w:rPr>
              <w:t xml:space="preserve">/ Industry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11527" w:type="dxa"/>
            <w:gridSpan w:val="7"/>
            <w:vAlign w:val="center"/>
          </w:tcPr>
          <w:p w14:paraId="1582B7E4" w14:textId="7959392B" w:rsidR="00FF5AC5" w:rsidRDefault="00762AB2" w:rsidP="00CB3C77">
            <w:pPr>
              <w:pStyle w:val="NoSpacing"/>
              <w:rPr>
                <w:color w:val="auto"/>
              </w:rPr>
            </w:pPr>
            <w:r w:rsidRPr="00CB3C77">
              <w:rPr>
                <w:color w:val="auto"/>
              </w:rPr>
              <w:t xml:space="preserve">- </w:t>
            </w:r>
            <w:r w:rsidR="002C1E00" w:rsidRPr="00CB3C77">
              <w:rPr>
                <w:color w:val="auto"/>
              </w:rPr>
              <w:t>Bill:</w:t>
            </w:r>
            <w:r w:rsidR="00CB3C77">
              <w:rPr>
                <w:color w:val="auto"/>
              </w:rPr>
              <w:t xml:space="preserve"> iRobot (IRBT); SSG projection starting p</w:t>
            </w:r>
            <w:r w:rsidR="00694C15">
              <w:rPr>
                <w:color w:val="auto"/>
              </w:rPr>
              <w:t>o</w:t>
            </w:r>
            <w:r w:rsidR="00CB3C77">
              <w:rPr>
                <w:color w:val="auto"/>
              </w:rPr>
              <w:t>ints, Manifest and Value Line margin calculations</w:t>
            </w:r>
          </w:p>
          <w:p w14:paraId="6EF31E47" w14:textId="7FDD8D24" w:rsidR="00B55235" w:rsidRDefault="00B55235" w:rsidP="00CB3C77">
            <w:pPr>
              <w:pStyle w:val="NoSpacing"/>
              <w:rPr>
                <w:color w:val="auto"/>
              </w:rPr>
            </w:pPr>
          </w:p>
          <w:p w14:paraId="383831EB" w14:textId="77777777" w:rsidR="00410C05" w:rsidRDefault="00B55235" w:rsidP="00CB3C7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Bill started with the annual projection starting point because he wanted to knock out the 1</w:t>
            </w:r>
            <w:r w:rsidRPr="00B55235">
              <w:rPr>
                <w:color w:val="auto"/>
                <w:vertAlign w:val="superscript"/>
              </w:rPr>
              <w:t>st</w:t>
            </w:r>
            <w:r>
              <w:rPr>
                <w:color w:val="auto"/>
              </w:rPr>
              <w:t xml:space="preserve"> quarter. </w:t>
            </w:r>
            <w:proofErr w:type="spellStart"/>
            <w:r>
              <w:rPr>
                <w:color w:val="auto"/>
              </w:rPr>
              <w:t>IRobot</w:t>
            </w:r>
            <w:proofErr w:type="spellEnd"/>
            <w:r w:rsidR="00410C05">
              <w:rPr>
                <w:color w:val="auto"/>
              </w:rPr>
              <w:t xml:space="preserve"> was</w:t>
            </w:r>
            <w:r>
              <w:rPr>
                <w:color w:val="auto"/>
              </w:rPr>
              <w:t xml:space="preserve"> founded </w:t>
            </w:r>
            <w:r w:rsidR="00410C05">
              <w:rPr>
                <w:color w:val="auto"/>
              </w:rPr>
              <w:t>in 2000 by MIT roboticists and went public 2005</w:t>
            </w:r>
            <w:r>
              <w:rPr>
                <w:color w:val="auto"/>
              </w:rPr>
              <w:t>.</w:t>
            </w:r>
            <w:r w:rsidR="00410C05">
              <w:rPr>
                <w:color w:val="auto"/>
              </w:rPr>
              <w:t xml:space="preserve"> </w:t>
            </w:r>
            <w:proofErr w:type="spellStart"/>
            <w:r w:rsidR="00410C05">
              <w:rPr>
                <w:color w:val="auto"/>
              </w:rPr>
              <w:t>IRobot</w:t>
            </w:r>
            <w:proofErr w:type="spellEnd"/>
            <w:r w:rsidR="00410C05">
              <w:rPr>
                <w:color w:val="auto"/>
              </w:rPr>
              <w:t xml:space="preserve"> has been utilized for diverse jobs. It has inspired micro rovers for NASA. It searched for the remains of the World Trade Center.  It Searched the Great Pyramid of Giza. </w:t>
            </w:r>
            <w:proofErr w:type="gramStart"/>
            <w:r w:rsidR="00410C05">
              <w:rPr>
                <w:color w:val="auto"/>
              </w:rPr>
              <w:t>So</w:t>
            </w:r>
            <w:proofErr w:type="gramEnd"/>
            <w:r w:rsidR="00410C05">
              <w:rPr>
                <w:color w:val="auto"/>
              </w:rPr>
              <w:t xml:space="preserve"> there are many possible applications for robots in the future.</w:t>
            </w:r>
          </w:p>
          <w:p w14:paraId="6E1A75DF" w14:textId="77777777" w:rsidR="00E17499" w:rsidRDefault="00410C05" w:rsidP="00CB3C7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IRobots</w:t>
            </w:r>
            <w:proofErr w:type="spellEnd"/>
            <w:r>
              <w:rPr>
                <w:color w:val="auto"/>
              </w:rPr>
              <w:t xml:space="preserve"> growth has been good at 18% with stiff competition</w:t>
            </w:r>
            <w:r w:rsidR="00123F20">
              <w:rPr>
                <w:color w:val="auto"/>
              </w:rPr>
              <w:t xml:space="preserve"> on the horizon.</w:t>
            </w:r>
            <w:r w:rsidR="00E17499">
              <w:rPr>
                <w:color w:val="auto"/>
              </w:rPr>
              <w:t xml:space="preserve"> There main products at this point are Roomba vacuums, </w:t>
            </w:r>
            <w:proofErr w:type="spellStart"/>
            <w:r w:rsidR="00E17499">
              <w:rPr>
                <w:color w:val="auto"/>
              </w:rPr>
              <w:t>Braava</w:t>
            </w:r>
            <w:proofErr w:type="spellEnd"/>
            <w:r w:rsidR="00E17499">
              <w:rPr>
                <w:color w:val="auto"/>
              </w:rPr>
              <w:t xml:space="preserve"> Mops, and Terra lawn mowers.</w:t>
            </w:r>
            <w:r w:rsidR="00123F20">
              <w:rPr>
                <w:color w:val="auto"/>
              </w:rPr>
              <w:t xml:space="preserve"> </w:t>
            </w:r>
          </w:p>
          <w:p w14:paraId="50F868F1" w14:textId="77777777" w:rsidR="00E17499" w:rsidRDefault="00E17499" w:rsidP="00CB3C77">
            <w:pPr>
              <w:pStyle w:val="NoSpacing"/>
              <w:rPr>
                <w:color w:val="auto"/>
              </w:rPr>
            </w:pPr>
          </w:p>
          <w:p w14:paraId="35A3A625" w14:textId="4D8C5B58" w:rsidR="00F4526F" w:rsidRDefault="00E17499" w:rsidP="00CB3C7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This past year has been tough going as t</w:t>
            </w:r>
            <w:r w:rsidR="00123F20">
              <w:rPr>
                <w:color w:val="auto"/>
              </w:rPr>
              <w:t xml:space="preserve">he tariff war with China pounded their production lines down and they lost market share. </w:t>
            </w:r>
            <w:r>
              <w:rPr>
                <w:color w:val="auto"/>
              </w:rPr>
              <w:t>The Corona virus disrupted supply chains. Most of their manufacturing has been in China and to avoid the tariff issues they are moving production to Malaysia.</w:t>
            </w:r>
            <w:r w:rsidR="00B00DDF">
              <w:rPr>
                <w:color w:val="auto"/>
              </w:rPr>
              <w:t xml:space="preserve"> The industry is expected to grow at 14.5%. </w:t>
            </w:r>
            <w:proofErr w:type="spellStart"/>
            <w:r w:rsidR="00B00DDF">
              <w:rPr>
                <w:color w:val="auto"/>
              </w:rPr>
              <w:t>IRobot</w:t>
            </w:r>
            <w:proofErr w:type="spellEnd"/>
            <w:r w:rsidR="00B00DDF">
              <w:rPr>
                <w:color w:val="auto"/>
              </w:rPr>
              <w:t xml:space="preserve"> is expected to have growth between 12 and 11%.</w:t>
            </w:r>
          </w:p>
          <w:p w14:paraId="1C992D6A" w14:textId="3B700B4F" w:rsidR="00B00DDF" w:rsidRDefault="00B00DDF" w:rsidP="00CB3C77">
            <w:pPr>
              <w:pStyle w:val="NoSpacing"/>
              <w:rPr>
                <w:color w:val="auto"/>
              </w:rPr>
            </w:pPr>
          </w:p>
          <w:p w14:paraId="6F78C8E4" w14:textId="6ADFA578" w:rsidR="00F4526F" w:rsidRPr="00CB3C77" w:rsidRDefault="00F4526F" w:rsidP="00CB3C77">
            <w:pPr>
              <w:pStyle w:val="NoSpacing"/>
              <w:rPr>
                <w:color w:val="auto"/>
              </w:rPr>
            </w:pPr>
          </w:p>
        </w:tc>
      </w:tr>
      <w:tr w:rsidR="003B2105" w:rsidRPr="00D96148" w14:paraId="0E644BF3" w14:textId="77777777" w:rsidTr="00B71CD8">
        <w:trPr>
          <w:trHeight w:val="368"/>
          <w:jc w:val="center"/>
        </w:trPr>
        <w:tc>
          <w:tcPr>
            <w:tcW w:w="2245" w:type="dxa"/>
            <w:vAlign w:val="center"/>
          </w:tcPr>
          <w:p w14:paraId="657726FF" w14:textId="77777777"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CB3C77">
              <w:rPr>
                <w:rFonts w:eastAsia="Times New Roman" w:cs="Times New Roman"/>
                <w:b/>
                <w:color w:val="auto"/>
                <w:szCs w:val="20"/>
              </w:rPr>
              <w:t>0:45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11527" w:type="dxa"/>
            <w:gridSpan w:val="7"/>
            <w:vAlign w:val="center"/>
          </w:tcPr>
          <w:p w14:paraId="1A74332C" w14:textId="217DD93E" w:rsidR="00D74F6A" w:rsidRDefault="003351AE" w:rsidP="009800F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085BD8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  <w:r w:rsidR="00CB3C77">
              <w:rPr>
                <w:rFonts w:cs="Times New Roman"/>
                <w:color w:val="auto"/>
                <w:szCs w:val="20"/>
              </w:rPr>
              <w:t>, partner’s outlook for their stocks</w:t>
            </w:r>
          </w:p>
          <w:p w14:paraId="7403E102" w14:textId="53DC007D" w:rsidR="00B00DDF" w:rsidRDefault="00B00DDF" w:rsidP="009800FD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3A0B9181" w14:textId="1DE2E9A4" w:rsidR="00B00DDF" w:rsidRDefault="00B00DDF" w:rsidP="009800F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This was a li</w:t>
            </w:r>
            <w:r w:rsidR="005114B4">
              <w:rPr>
                <w:rFonts w:cs="Times New Roman"/>
                <w:color w:val="auto"/>
                <w:szCs w:val="20"/>
              </w:rPr>
              <w:t>f</w:t>
            </w:r>
            <w:r>
              <w:rPr>
                <w:rFonts w:cs="Times New Roman"/>
                <w:color w:val="auto"/>
                <w:szCs w:val="20"/>
              </w:rPr>
              <w:t>ely discussion of our portfolio. We agreed we need new companies and we need to focus on rate of return. We need to change our mindset and adopt a more aggressive posture in stock selection. We spend lots of time on what to buy, but not so much on what to sell.</w:t>
            </w:r>
          </w:p>
          <w:p w14:paraId="7CE37260" w14:textId="229C13A0" w:rsidR="00B00DDF" w:rsidRDefault="00B00DDF" w:rsidP="009800F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We explored many different adjustments to our portfolio</w:t>
            </w:r>
            <w:r w:rsidR="00954B59">
              <w:rPr>
                <w:rFonts w:cs="Times New Roman"/>
                <w:color w:val="auto"/>
                <w:szCs w:val="20"/>
              </w:rPr>
              <w:t xml:space="preserve"> </w:t>
            </w:r>
            <w:proofErr w:type="gramStart"/>
            <w:r w:rsidR="00954B59">
              <w:rPr>
                <w:rFonts w:cs="Times New Roman"/>
                <w:color w:val="auto"/>
                <w:szCs w:val="20"/>
              </w:rPr>
              <w:t>position</w:t>
            </w:r>
            <w:r w:rsidR="005D58B9">
              <w:rPr>
                <w:rFonts w:cs="Times New Roman"/>
                <w:color w:val="auto"/>
                <w:szCs w:val="20"/>
              </w:rPr>
              <w:t>s</w:t>
            </w:r>
            <w:proofErr w:type="gramEnd"/>
            <w:r w:rsidR="00954B59">
              <w:rPr>
                <w:rFonts w:cs="Times New Roman"/>
                <w:color w:val="auto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Cs w:val="20"/>
              </w:rPr>
              <w:t xml:space="preserve">and it was </w:t>
            </w:r>
            <w:r w:rsidR="00954B59">
              <w:rPr>
                <w:rFonts w:cs="Times New Roman"/>
                <w:color w:val="auto"/>
                <w:szCs w:val="20"/>
              </w:rPr>
              <w:t>an interesting meeting, if not somewhat chaotic.</w:t>
            </w:r>
          </w:p>
          <w:p w14:paraId="071C4D98" w14:textId="77777777" w:rsidR="00B00DDF" w:rsidRDefault="00B00DDF" w:rsidP="009800FD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69C40EEF" w14:textId="77777777" w:rsidR="00B00DDF" w:rsidRDefault="00B00DDF" w:rsidP="009800FD">
            <w:pPr>
              <w:pStyle w:val="NoSpacing"/>
              <w:rPr>
                <w:rFonts w:cs="Times New Roman"/>
                <w:szCs w:val="20"/>
              </w:rPr>
            </w:pPr>
          </w:p>
          <w:p w14:paraId="271FEA17" w14:textId="76DBCFE9" w:rsidR="00B00DDF" w:rsidRPr="00FA6ADA" w:rsidRDefault="00B00DDF" w:rsidP="009800FD">
            <w:pPr>
              <w:pStyle w:val="NoSpacing"/>
            </w:pPr>
          </w:p>
        </w:tc>
      </w:tr>
      <w:tr w:rsidR="003B2105" w:rsidRPr="00D96148" w14:paraId="04150674" w14:textId="77777777" w:rsidTr="00B71CD8">
        <w:trPr>
          <w:trHeight w:val="368"/>
          <w:jc w:val="center"/>
        </w:trPr>
        <w:tc>
          <w:tcPr>
            <w:tcW w:w="2245" w:type="dxa"/>
            <w:vAlign w:val="center"/>
          </w:tcPr>
          <w:p w14:paraId="38C269B7" w14:textId="77777777"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11527" w:type="dxa"/>
            <w:gridSpan w:val="7"/>
            <w:vAlign w:val="center"/>
          </w:tcPr>
          <w:p w14:paraId="155E736A" w14:textId="77777777" w:rsidR="004E7725" w:rsidRDefault="000E528D" w:rsidP="00CE0C5A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2C1E00">
              <w:rPr>
                <w:rFonts w:cs="Times New Roman"/>
                <w:color w:val="auto"/>
                <w:szCs w:val="20"/>
              </w:rPr>
              <w:t>Recap of the Jun 6</w:t>
            </w:r>
            <w:r w:rsidR="00CE0C5A">
              <w:rPr>
                <w:rFonts w:cs="Times New Roman"/>
                <w:color w:val="auto"/>
                <w:szCs w:val="20"/>
              </w:rPr>
              <w:t xml:space="preserve"> </w:t>
            </w:r>
            <w:r w:rsidR="00085BD8">
              <w:rPr>
                <w:rFonts w:cs="Times New Roman"/>
                <w:color w:val="auto"/>
                <w:szCs w:val="20"/>
              </w:rPr>
              <w:t xml:space="preserve">mid-month </w:t>
            </w:r>
            <w:r w:rsidR="002C1E00">
              <w:rPr>
                <w:rFonts w:cs="Times New Roman"/>
                <w:color w:val="auto"/>
                <w:szCs w:val="20"/>
              </w:rPr>
              <w:t xml:space="preserve">meeting </w:t>
            </w:r>
          </w:p>
          <w:p w14:paraId="637E6C7E" w14:textId="77777777" w:rsidR="002C1E00" w:rsidRPr="00A33AAE" w:rsidRDefault="002C1E00" w:rsidP="00CE0C5A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Dene – Manifest Investing’s opinion about VHT</w:t>
            </w:r>
          </w:p>
        </w:tc>
      </w:tr>
      <w:tr w:rsidR="002B6A94" w:rsidRPr="00D96148" w14:paraId="4B75C1D0" w14:textId="77777777" w:rsidTr="00B71CD8">
        <w:trPr>
          <w:trHeight w:val="368"/>
          <w:jc w:val="center"/>
        </w:trPr>
        <w:tc>
          <w:tcPr>
            <w:tcW w:w="2245" w:type="dxa"/>
            <w:vAlign w:val="center"/>
          </w:tcPr>
          <w:p w14:paraId="35A53A1A" w14:textId="77777777"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11527" w:type="dxa"/>
            <w:gridSpan w:val="7"/>
            <w:vAlign w:val="center"/>
          </w:tcPr>
          <w:p w14:paraId="1EB2C67F" w14:textId="77777777"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14:paraId="16195BE6" w14:textId="77777777" w:rsidTr="00B71CD8">
        <w:tblPrEx>
          <w:jc w:val="left"/>
        </w:tblPrEx>
        <w:trPr>
          <w:trHeight w:val="403"/>
        </w:trPr>
        <w:tc>
          <w:tcPr>
            <w:tcW w:w="2245" w:type="dxa"/>
            <w:vAlign w:val="center"/>
            <w:hideMark/>
          </w:tcPr>
          <w:p w14:paraId="7F9933EE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589" w:type="dxa"/>
            <w:vAlign w:val="center"/>
            <w:hideMark/>
          </w:tcPr>
          <w:p w14:paraId="336A3CD4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845" w:type="dxa"/>
            <w:vAlign w:val="center"/>
            <w:hideMark/>
          </w:tcPr>
          <w:p w14:paraId="0DAC652A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2020" w:type="dxa"/>
            <w:vAlign w:val="center"/>
            <w:hideMark/>
          </w:tcPr>
          <w:p w14:paraId="29B1AF10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939" w:type="dxa"/>
            <w:vAlign w:val="center"/>
            <w:hideMark/>
          </w:tcPr>
          <w:p w14:paraId="2095B223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1212" w:type="dxa"/>
            <w:vAlign w:val="center"/>
            <w:hideMark/>
          </w:tcPr>
          <w:p w14:paraId="29DF9A78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1333" w:type="dxa"/>
            <w:vAlign w:val="center"/>
          </w:tcPr>
          <w:p w14:paraId="0235B874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589" w:type="dxa"/>
            <w:vAlign w:val="center"/>
            <w:hideMark/>
          </w:tcPr>
          <w:p w14:paraId="61F1D8DC" w14:textId="77777777"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4294" w:rsidRPr="00D96148" w14:paraId="38BFACAC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  <w:hideMark/>
          </w:tcPr>
          <w:p w14:paraId="65E74737" w14:textId="77777777" w:rsidR="00704294" w:rsidRPr="00D96148" w:rsidRDefault="00704294" w:rsidP="0070429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589" w:type="dxa"/>
            <w:noWrap/>
            <w:hideMark/>
          </w:tcPr>
          <w:p w14:paraId="74A3FFD0" w14:textId="77777777" w:rsidR="00704294" w:rsidRPr="00D96148" w:rsidRDefault="00704294" w:rsidP="007042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845" w:type="dxa"/>
            <w:noWrap/>
            <w:hideMark/>
          </w:tcPr>
          <w:p w14:paraId="5299D1E9" w14:textId="77777777" w:rsidR="00704294" w:rsidRPr="00D96148" w:rsidRDefault="00704294" w:rsidP="0070429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2020" w:type="dxa"/>
            <w:noWrap/>
          </w:tcPr>
          <w:p w14:paraId="7216C184" w14:textId="77777777" w:rsidR="00704294" w:rsidRDefault="00704294" w:rsidP="00704294">
            <w:pPr>
              <w:jc w:val="center"/>
            </w:pPr>
            <w:r>
              <w:t>HOLD</w:t>
            </w:r>
          </w:p>
        </w:tc>
        <w:tc>
          <w:tcPr>
            <w:tcW w:w="1939" w:type="dxa"/>
            <w:noWrap/>
          </w:tcPr>
          <w:p w14:paraId="6E0AD80A" w14:textId="77777777" w:rsidR="00704294" w:rsidRDefault="00704294" w:rsidP="00704294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F7D6" w14:textId="77777777" w:rsidR="00704294" w:rsidRPr="00D96148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E7E" w14:textId="77777777" w:rsidR="00704294" w:rsidRPr="00D96148" w:rsidRDefault="00704294" w:rsidP="007042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7E3B01C4" w14:textId="77777777" w:rsidR="00704294" w:rsidRPr="005F72D0" w:rsidRDefault="00704294" w:rsidP="007042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704294" w:rsidRPr="00D96148" w14:paraId="78223D91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</w:tcPr>
          <w:p w14:paraId="2C500EB0" w14:textId="77777777" w:rsidR="00704294" w:rsidRPr="00D96148" w:rsidRDefault="00704294" w:rsidP="0070429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589" w:type="dxa"/>
            <w:noWrap/>
          </w:tcPr>
          <w:p w14:paraId="1650455D" w14:textId="77777777" w:rsidR="00704294" w:rsidRPr="00D96148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845" w:type="dxa"/>
            <w:noWrap/>
          </w:tcPr>
          <w:p w14:paraId="2081C8F1" w14:textId="77777777" w:rsidR="00704294" w:rsidRPr="00D96148" w:rsidRDefault="00704294" w:rsidP="00704294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2020" w:type="dxa"/>
            <w:noWrap/>
          </w:tcPr>
          <w:p w14:paraId="2E069C52" w14:textId="77777777" w:rsidR="00704294" w:rsidRDefault="00704294" w:rsidP="00704294">
            <w:pPr>
              <w:jc w:val="center"/>
            </w:pPr>
            <w:r>
              <w:t>HOLD</w:t>
            </w:r>
          </w:p>
        </w:tc>
        <w:tc>
          <w:tcPr>
            <w:tcW w:w="1939" w:type="dxa"/>
            <w:noWrap/>
          </w:tcPr>
          <w:p w14:paraId="4EA7B64D" w14:textId="77777777" w:rsidR="00704294" w:rsidRDefault="00704294" w:rsidP="00704294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90E0" w14:textId="77777777" w:rsidR="00704294" w:rsidRPr="00D96148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03D" w14:textId="77777777" w:rsidR="00704294" w:rsidRPr="00D96148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4C9B2D36" w14:textId="77777777" w:rsidR="00704294" w:rsidRPr="005F72D0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04294" w:rsidRPr="00D96148" w14:paraId="379189C6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  <w:hideMark/>
          </w:tcPr>
          <w:p w14:paraId="54A0D26B" w14:textId="77777777" w:rsidR="00704294" w:rsidRPr="00D96148" w:rsidRDefault="00704294" w:rsidP="0070429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589" w:type="dxa"/>
            <w:noWrap/>
            <w:hideMark/>
          </w:tcPr>
          <w:p w14:paraId="38B53EB2" w14:textId="77777777" w:rsidR="00704294" w:rsidRPr="00D96148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845" w:type="dxa"/>
            <w:noWrap/>
            <w:hideMark/>
          </w:tcPr>
          <w:p w14:paraId="1C32F4C1" w14:textId="77777777" w:rsidR="00704294" w:rsidRPr="00D96148" w:rsidRDefault="00704294" w:rsidP="00704294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2020" w:type="dxa"/>
            <w:noWrap/>
          </w:tcPr>
          <w:p w14:paraId="69E44B87" w14:textId="77777777" w:rsidR="00704294" w:rsidRDefault="00704294" w:rsidP="00704294">
            <w:pPr>
              <w:jc w:val="center"/>
            </w:pPr>
            <w:r>
              <w:t>HOLD</w:t>
            </w:r>
          </w:p>
        </w:tc>
        <w:tc>
          <w:tcPr>
            <w:tcW w:w="1939" w:type="dxa"/>
            <w:noWrap/>
          </w:tcPr>
          <w:p w14:paraId="76327BD1" w14:textId="77777777" w:rsidR="00704294" w:rsidRDefault="00704294" w:rsidP="00704294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F1D9" w14:textId="77777777" w:rsidR="00704294" w:rsidRPr="00D96148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B1E" w14:textId="77777777" w:rsidR="00704294" w:rsidRPr="00D96148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0FDD4AF6" w14:textId="77777777" w:rsidR="00704294" w:rsidRPr="005F72D0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04294" w:rsidRPr="00D96148" w14:paraId="3256119F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  <w:vAlign w:val="center"/>
          </w:tcPr>
          <w:p w14:paraId="655F3291" w14:textId="77777777" w:rsidR="00704294" w:rsidRPr="00D96148" w:rsidRDefault="00704294" w:rsidP="00704294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589" w:type="dxa"/>
            <w:noWrap/>
            <w:vAlign w:val="center"/>
          </w:tcPr>
          <w:p w14:paraId="1023C304" w14:textId="77777777" w:rsidR="00704294" w:rsidRPr="00D96148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845" w:type="dxa"/>
            <w:noWrap/>
            <w:vAlign w:val="center"/>
          </w:tcPr>
          <w:p w14:paraId="46FD17DE" w14:textId="77777777" w:rsidR="00704294" w:rsidRPr="00D96148" w:rsidRDefault="00704294" w:rsidP="0070429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2020" w:type="dxa"/>
            <w:noWrap/>
          </w:tcPr>
          <w:p w14:paraId="768967F4" w14:textId="77777777" w:rsidR="00704294" w:rsidRDefault="00704294" w:rsidP="00704294">
            <w:pPr>
              <w:jc w:val="center"/>
            </w:pPr>
            <w:r>
              <w:t>HOLD</w:t>
            </w:r>
          </w:p>
        </w:tc>
        <w:tc>
          <w:tcPr>
            <w:tcW w:w="1939" w:type="dxa"/>
            <w:noWrap/>
          </w:tcPr>
          <w:p w14:paraId="1065E059" w14:textId="77777777" w:rsidR="00704294" w:rsidRDefault="00704294" w:rsidP="00704294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6E9B" w14:textId="77777777" w:rsidR="00704294" w:rsidRPr="00D96148" w:rsidRDefault="00704294" w:rsidP="00704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399" w14:textId="77777777" w:rsidR="00704294" w:rsidRPr="00D96148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4D8CEC67" w14:textId="77777777" w:rsidR="00704294" w:rsidRPr="005F72D0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14:paraId="4F3EE058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</w:tcPr>
          <w:p w14:paraId="2AEED150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589" w:type="dxa"/>
            <w:noWrap/>
          </w:tcPr>
          <w:p w14:paraId="26E0A7A8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845" w:type="dxa"/>
            <w:noWrap/>
          </w:tcPr>
          <w:p w14:paraId="138C9759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2020" w:type="dxa"/>
            <w:noWrap/>
          </w:tcPr>
          <w:p w14:paraId="1396F778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939" w:type="dxa"/>
            <w:noWrap/>
          </w:tcPr>
          <w:p w14:paraId="21A06AAC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052E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E22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3065DF93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14:paraId="39DD0E3B" w14:textId="77777777" w:rsidTr="00B71CD8">
        <w:tblPrEx>
          <w:jc w:val="left"/>
        </w:tblPrEx>
        <w:trPr>
          <w:trHeight w:val="260"/>
        </w:trPr>
        <w:tc>
          <w:tcPr>
            <w:tcW w:w="2245" w:type="dxa"/>
            <w:noWrap/>
            <w:hideMark/>
          </w:tcPr>
          <w:p w14:paraId="3A3176EC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589" w:type="dxa"/>
            <w:noWrap/>
            <w:hideMark/>
          </w:tcPr>
          <w:p w14:paraId="16AC053E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845" w:type="dxa"/>
            <w:noWrap/>
            <w:hideMark/>
          </w:tcPr>
          <w:p w14:paraId="6051D644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2020" w:type="dxa"/>
            <w:noWrap/>
          </w:tcPr>
          <w:p w14:paraId="3E95D821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939" w:type="dxa"/>
            <w:noWrap/>
          </w:tcPr>
          <w:p w14:paraId="15913345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AA44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87E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3DDBF1EE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14:paraId="5030BFC8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  <w:hideMark/>
          </w:tcPr>
          <w:p w14:paraId="7077ADF2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589" w:type="dxa"/>
            <w:noWrap/>
            <w:hideMark/>
          </w:tcPr>
          <w:p w14:paraId="3A5905D0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845" w:type="dxa"/>
            <w:noWrap/>
            <w:hideMark/>
          </w:tcPr>
          <w:p w14:paraId="0440E1CB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2020" w:type="dxa"/>
            <w:noWrap/>
          </w:tcPr>
          <w:p w14:paraId="4822EB6F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939" w:type="dxa"/>
            <w:noWrap/>
          </w:tcPr>
          <w:p w14:paraId="7EAECE1F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826F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9E0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488FD024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14:paraId="750EFC47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</w:tcPr>
          <w:p w14:paraId="793A392A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589" w:type="dxa"/>
            <w:noWrap/>
          </w:tcPr>
          <w:p w14:paraId="49AFF479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845" w:type="dxa"/>
            <w:noWrap/>
          </w:tcPr>
          <w:p w14:paraId="7E42954D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2020" w:type="dxa"/>
            <w:noWrap/>
          </w:tcPr>
          <w:p w14:paraId="5B66B8E3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939" w:type="dxa"/>
            <w:noWrap/>
          </w:tcPr>
          <w:p w14:paraId="0ECFB782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9DF0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45E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05B7BE5F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14:paraId="6FAA117F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  <w:vAlign w:val="center"/>
          </w:tcPr>
          <w:p w14:paraId="5AF131B8" w14:textId="77777777" w:rsidR="00CB332F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589" w:type="dxa"/>
            <w:noWrap/>
            <w:vAlign w:val="center"/>
          </w:tcPr>
          <w:p w14:paraId="720D387B" w14:textId="77777777" w:rsidR="00CB332F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845" w:type="dxa"/>
            <w:noWrap/>
            <w:vAlign w:val="center"/>
          </w:tcPr>
          <w:p w14:paraId="003CC252" w14:textId="77777777" w:rsidR="00CB332F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2020" w:type="dxa"/>
            <w:noWrap/>
          </w:tcPr>
          <w:p w14:paraId="35F76C2D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939" w:type="dxa"/>
            <w:noWrap/>
          </w:tcPr>
          <w:p w14:paraId="6FFDD084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3BD4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392A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  <w:vAlign w:val="center"/>
          </w:tcPr>
          <w:p w14:paraId="0AAED18F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14:paraId="6B6A8463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</w:tcPr>
          <w:p w14:paraId="6A6E17F7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589" w:type="dxa"/>
            <w:noWrap/>
          </w:tcPr>
          <w:p w14:paraId="1C9A4F0D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845" w:type="dxa"/>
            <w:noWrap/>
          </w:tcPr>
          <w:p w14:paraId="66D763E9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2020" w:type="dxa"/>
            <w:noWrap/>
          </w:tcPr>
          <w:p w14:paraId="7020D8B4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939" w:type="dxa"/>
            <w:noWrap/>
          </w:tcPr>
          <w:p w14:paraId="37266348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9E97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F419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3D045CD7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14:paraId="23B6F508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</w:tcPr>
          <w:p w14:paraId="7065B376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589" w:type="dxa"/>
            <w:noWrap/>
          </w:tcPr>
          <w:p w14:paraId="08A2AC7B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845" w:type="dxa"/>
            <w:noWrap/>
          </w:tcPr>
          <w:p w14:paraId="63BFB2D6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2020" w:type="dxa"/>
            <w:shd w:val="clear" w:color="auto" w:fill="auto"/>
            <w:noWrap/>
          </w:tcPr>
          <w:p w14:paraId="4C3CB8DF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939" w:type="dxa"/>
            <w:shd w:val="clear" w:color="auto" w:fill="auto"/>
            <w:noWrap/>
          </w:tcPr>
          <w:p w14:paraId="508D29E3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D25D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F02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65059F23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CB332F" w:rsidRPr="00D96148" w14:paraId="08496ABB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  <w:hideMark/>
          </w:tcPr>
          <w:p w14:paraId="3CE2FC4A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589" w:type="dxa"/>
            <w:noWrap/>
            <w:hideMark/>
          </w:tcPr>
          <w:p w14:paraId="6AF56830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845" w:type="dxa"/>
            <w:noWrap/>
            <w:hideMark/>
          </w:tcPr>
          <w:p w14:paraId="63AAFA50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2020" w:type="dxa"/>
            <w:noWrap/>
          </w:tcPr>
          <w:p w14:paraId="3151B916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939" w:type="dxa"/>
            <w:noWrap/>
          </w:tcPr>
          <w:p w14:paraId="27365BA8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0DA0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BE8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0F09DBFE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B332F" w:rsidRPr="00D96148" w14:paraId="740D548E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  <w:hideMark/>
          </w:tcPr>
          <w:p w14:paraId="0390380B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589" w:type="dxa"/>
            <w:noWrap/>
            <w:hideMark/>
          </w:tcPr>
          <w:p w14:paraId="4EC2A2A3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845" w:type="dxa"/>
            <w:noWrap/>
            <w:hideMark/>
          </w:tcPr>
          <w:p w14:paraId="1BE61A3D" w14:textId="77777777" w:rsidR="00CB332F" w:rsidRPr="00D96148" w:rsidRDefault="00CB332F" w:rsidP="00CB332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2020" w:type="dxa"/>
            <w:shd w:val="clear" w:color="auto" w:fill="auto"/>
            <w:noWrap/>
          </w:tcPr>
          <w:p w14:paraId="65895386" w14:textId="77777777" w:rsidR="00CB332F" w:rsidRPr="00D96148" w:rsidRDefault="00EA579A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939" w:type="dxa"/>
            <w:shd w:val="clear" w:color="auto" w:fill="auto"/>
            <w:noWrap/>
          </w:tcPr>
          <w:p w14:paraId="605632D0" w14:textId="77777777" w:rsidR="00CB332F" w:rsidRPr="00D96148" w:rsidRDefault="00EA579A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----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4E6B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E8D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7AD90E7A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CB332F" w:rsidRPr="00D96148" w14:paraId="6D9F4978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</w:tcPr>
          <w:p w14:paraId="3E71BDB4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589" w:type="dxa"/>
            <w:noWrap/>
          </w:tcPr>
          <w:p w14:paraId="2C876E72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845" w:type="dxa"/>
            <w:noWrap/>
          </w:tcPr>
          <w:p w14:paraId="62A4CCE6" w14:textId="77777777" w:rsidR="00CB332F" w:rsidRPr="00D96148" w:rsidRDefault="00CB332F" w:rsidP="00CB332F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2020" w:type="dxa"/>
          </w:tcPr>
          <w:p w14:paraId="67558A50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939" w:type="dxa"/>
          </w:tcPr>
          <w:p w14:paraId="57A81B71" w14:textId="77777777" w:rsidR="00CB332F" w:rsidRDefault="00CB332F" w:rsidP="00CB332F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ABF8" w14:textId="77777777" w:rsidR="00CB332F" w:rsidRPr="00D96148" w:rsidRDefault="00CB332F" w:rsidP="00CB33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F34D6" w14:textId="77777777" w:rsidR="00CB332F" w:rsidRPr="00D96148" w:rsidRDefault="00CB332F" w:rsidP="00CB33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31BAFD97" w14:textId="77777777" w:rsidR="00CB332F" w:rsidRPr="005F72D0" w:rsidRDefault="00CB332F" w:rsidP="00CB332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A579A" w:rsidRPr="00D96148" w14:paraId="732D7043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</w:tcPr>
          <w:p w14:paraId="12D2629A" w14:textId="77777777" w:rsidR="00EA579A" w:rsidRPr="00D96148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589" w:type="dxa"/>
            <w:noWrap/>
          </w:tcPr>
          <w:p w14:paraId="2C1D77E7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845" w:type="dxa"/>
            <w:noWrap/>
          </w:tcPr>
          <w:p w14:paraId="018D971D" w14:textId="77777777" w:rsidR="00EA579A" w:rsidRPr="00D96148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2020" w:type="dxa"/>
          </w:tcPr>
          <w:p w14:paraId="2FEADDDF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939" w:type="dxa"/>
          </w:tcPr>
          <w:p w14:paraId="604E7F8A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----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BA12" w14:textId="77777777" w:rsidR="00EA579A" w:rsidRPr="00D96148" w:rsidRDefault="00EA579A" w:rsidP="00EA579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21A1B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62806848" w14:textId="77777777" w:rsidR="00EA579A" w:rsidRPr="005F72D0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EA579A" w:rsidRPr="00D96148" w14:paraId="14A0AC36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  <w:vAlign w:val="center"/>
          </w:tcPr>
          <w:p w14:paraId="3138BFF0" w14:textId="77777777" w:rsidR="00EA579A" w:rsidRPr="00D96148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589" w:type="dxa"/>
            <w:noWrap/>
            <w:vAlign w:val="center"/>
          </w:tcPr>
          <w:p w14:paraId="69282EEE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845" w:type="dxa"/>
            <w:noWrap/>
            <w:vAlign w:val="center"/>
          </w:tcPr>
          <w:p w14:paraId="459D4B02" w14:textId="77777777" w:rsidR="00EA579A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</w:t>
            </w:r>
          </w:p>
        </w:tc>
        <w:tc>
          <w:tcPr>
            <w:tcW w:w="2020" w:type="dxa"/>
            <w:shd w:val="clear" w:color="auto" w:fill="auto"/>
          </w:tcPr>
          <w:p w14:paraId="3E5370CE" w14:textId="77777777" w:rsidR="00EA579A" w:rsidRDefault="00EA579A" w:rsidP="00EA579A">
            <w:pPr>
              <w:jc w:val="center"/>
            </w:pPr>
            <w:r>
              <w:t>HOLD</w:t>
            </w:r>
          </w:p>
        </w:tc>
        <w:tc>
          <w:tcPr>
            <w:tcW w:w="1939" w:type="dxa"/>
            <w:shd w:val="clear" w:color="auto" w:fill="auto"/>
          </w:tcPr>
          <w:p w14:paraId="221B69F3" w14:textId="77777777" w:rsidR="00EA579A" w:rsidRDefault="00EA579A" w:rsidP="00EA579A">
            <w:pPr>
              <w:jc w:val="center"/>
            </w:pPr>
            <w:r>
              <w:t>HOLD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6453" w14:textId="77777777" w:rsidR="00EA579A" w:rsidRDefault="00EA579A" w:rsidP="00EA579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7DD9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  <w:vAlign w:val="center"/>
          </w:tcPr>
          <w:p w14:paraId="0525C26E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A579A" w:rsidRPr="00D96148" w14:paraId="1935EE78" w14:textId="77777777" w:rsidTr="00B71CD8">
        <w:tblPrEx>
          <w:jc w:val="left"/>
        </w:tblPrEx>
        <w:trPr>
          <w:trHeight w:val="261"/>
        </w:trPr>
        <w:tc>
          <w:tcPr>
            <w:tcW w:w="2245" w:type="dxa"/>
            <w:noWrap/>
          </w:tcPr>
          <w:p w14:paraId="72FB5A92" w14:textId="77777777" w:rsidR="00EA579A" w:rsidRPr="00D96148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589" w:type="dxa"/>
            <w:noWrap/>
          </w:tcPr>
          <w:p w14:paraId="2FCE93C4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845" w:type="dxa"/>
            <w:noWrap/>
          </w:tcPr>
          <w:p w14:paraId="2307A271" w14:textId="77777777" w:rsidR="00EA579A" w:rsidRPr="00D96148" w:rsidRDefault="00EA579A" w:rsidP="00EA579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2020" w:type="dxa"/>
            <w:shd w:val="clear" w:color="auto" w:fill="auto"/>
          </w:tcPr>
          <w:p w14:paraId="76EF9387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939" w:type="dxa"/>
            <w:shd w:val="clear" w:color="auto" w:fill="auto"/>
          </w:tcPr>
          <w:p w14:paraId="5FFB9103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----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FA61" w14:textId="77777777" w:rsidR="00EA579A" w:rsidRPr="00D96148" w:rsidRDefault="00EA579A" w:rsidP="00EA579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0305C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noWrap/>
          </w:tcPr>
          <w:p w14:paraId="727BFA15" w14:textId="77777777" w:rsidR="00EA579A" w:rsidRPr="00D96148" w:rsidRDefault="00EA579A" w:rsidP="00EA579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</w:tbl>
    <w:p w14:paraId="74B424E6" w14:textId="77777777" w:rsidR="003A3A27" w:rsidRDefault="003A3A27"/>
    <w:p w14:paraId="01AF1378" w14:textId="7A2796CC" w:rsidR="003A3A27" w:rsidRDefault="003A3A27">
      <w:r>
        <w:t>Buy/sell</w:t>
      </w:r>
    </w:p>
    <w:p w14:paraId="411C3875" w14:textId="7B72C5B5" w:rsidR="003A3A27" w:rsidRDefault="003A3A27">
      <w:r>
        <w:t>Dene: remove limit order for ILMI</w:t>
      </w:r>
      <w:r w:rsidR="00D87885">
        <w:t xml:space="preserve"> Unanimous</w:t>
      </w:r>
    </w:p>
    <w:p w14:paraId="57A1C87F" w14:textId="0A6789C0" w:rsidR="003A3A27" w:rsidRDefault="003A3A27">
      <w:r>
        <w:t>Marty 2</w:t>
      </w:r>
      <w:r w:rsidRPr="003A3A27">
        <w:rPr>
          <w:vertAlign w:val="superscript"/>
        </w:rPr>
        <w:t>nd</w:t>
      </w:r>
    </w:p>
    <w:p w14:paraId="13CBBEE8" w14:textId="77777777" w:rsidR="003A3A27" w:rsidRDefault="003A3A27"/>
    <w:p w14:paraId="4DCC5B5D" w14:textId="144CBC37" w:rsidR="003A3A27" w:rsidRDefault="003A3A27">
      <w:r>
        <w:t xml:space="preserve">Kate buy 25 shares of </w:t>
      </w:r>
      <w:proofErr w:type="spellStart"/>
      <w:r>
        <w:t>IRobot</w:t>
      </w:r>
      <w:proofErr w:type="spellEnd"/>
      <w:r>
        <w:t xml:space="preserve"> at window</w:t>
      </w:r>
      <w:r w:rsidR="00D87885">
        <w:t xml:space="preserve">    2Nay votes</w:t>
      </w:r>
    </w:p>
    <w:p w14:paraId="330A60D5" w14:textId="099F4DAA" w:rsidR="003A3A27" w:rsidRDefault="003A3A27">
      <w:r>
        <w:t>Marty second</w:t>
      </w:r>
    </w:p>
    <w:p w14:paraId="3F732A5B" w14:textId="77777777" w:rsidR="003A3A27" w:rsidRDefault="003A3A27"/>
    <w:p w14:paraId="25C0B888" w14:textId="5894CA40" w:rsidR="003A3A27" w:rsidRDefault="00D87885">
      <w:r>
        <w:t>Bill</w:t>
      </w:r>
      <w:r w:rsidR="003A3A27">
        <w:t xml:space="preserve"> Buy </w:t>
      </w:r>
      <w:r>
        <w:t>75</w:t>
      </w:r>
      <w:r w:rsidR="003A3A27">
        <w:t xml:space="preserve"> shares of Schwab at window</w:t>
      </w:r>
      <w:r>
        <w:t xml:space="preserve"> </w:t>
      </w:r>
      <w:proofErr w:type="spellStart"/>
      <w:r>
        <w:t>Unanimus</w:t>
      </w:r>
      <w:proofErr w:type="spellEnd"/>
    </w:p>
    <w:p w14:paraId="19ECCC43" w14:textId="0A1F38A9" w:rsidR="003A3A27" w:rsidRDefault="00D87885">
      <w:r>
        <w:t>Nelson</w:t>
      </w:r>
      <w:r w:rsidR="003A3A27">
        <w:t xml:space="preserve"> second</w:t>
      </w:r>
    </w:p>
    <w:p w14:paraId="63B1544B" w14:textId="32234938" w:rsidR="003A3A27" w:rsidRDefault="003A3A27">
      <w:pPr>
        <w:rPr>
          <w:vertAlign w:val="superscript"/>
        </w:rPr>
      </w:pPr>
    </w:p>
    <w:p w14:paraId="35C5646C" w14:textId="70AA65EA" w:rsidR="003A3A27" w:rsidRDefault="003A3A27">
      <w:pPr>
        <w:rPr>
          <w:vertAlign w:val="superscript"/>
        </w:rPr>
      </w:pPr>
    </w:p>
    <w:p w14:paraId="5414A450" w14:textId="36F076E4" w:rsidR="003A3A27" w:rsidRDefault="003A3A27">
      <w:pPr>
        <w:rPr>
          <w:vertAlign w:val="superscript"/>
        </w:rPr>
      </w:pPr>
    </w:p>
    <w:p w14:paraId="420DDCE6" w14:textId="77777777" w:rsidR="003A3A27" w:rsidRDefault="003A3A27">
      <w:pPr>
        <w:rPr>
          <w:vertAlign w:val="superscript"/>
        </w:rPr>
      </w:pPr>
    </w:p>
    <w:p w14:paraId="540BB4FC" w14:textId="602B086D" w:rsidR="003A3A27" w:rsidRDefault="003A3A27">
      <w:pPr>
        <w:rPr>
          <w:vertAlign w:val="superscript"/>
        </w:rPr>
      </w:pPr>
    </w:p>
    <w:p w14:paraId="6DEF387A" w14:textId="48C927F5" w:rsidR="003A3A27" w:rsidRDefault="003A3A27"/>
    <w:p w14:paraId="112CFA90" w14:textId="77777777" w:rsidR="003A3A27" w:rsidRDefault="003A3A27"/>
    <w:p w14:paraId="342A29CC" w14:textId="77777777" w:rsidR="003A3A27" w:rsidRDefault="003A3A27"/>
    <w:p w14:paraId="546273D4" w14:textId="77777777" w:rsidR="003A3A27" w:rsidRDefault="003A3A27"/>
    <w:p w14:paraId="426730D4" w14:textId="77777777" w:rsidR="003A3A27" w:rsidRDefault="003A3A27"/>
    <w:p w14:paraId="450A285E" w14:textId="348A8D9B" w:rsidR="00134963" w:rsidRDefault="00134963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14:paraId="7EB22531" w14:textId="77777777" w:rsidTr="0015798E">
        <w:trPr>
          <w:trHeight w:val="170"/>
        </w:trPr>
        <w:tc>
          <w:tcPr>
            <w:tcW w:w="10890" w:type="dxa"/>
            <w:gridSpan w:val="5"/>
            <w:noWrap/>
          </w:tcPr>
          <w:p w14:paraId="31BB6F86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E8110F" w:rsidRPr="002C5C3A" w14:paraId="29EFA3B9" w14:textId="77777777" w:rsidTr="0015798E">
        <w:tc>
          <w:tcPr>
            <w:tcW w:w="2330" w:type="dxa"/>
          </w:tcPr>
          <w:p w14:paraId="1349CDE0" w14:textId="77777777"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14:paraId="116BD4A2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14:paraId="70C8FE8D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14:paraId="69DA4DCC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14:paraId="76E77E92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14:paraId="1CC9DFEF" w14:textId="77777777" w:rsidTr="003B2105">
        <w:tc>
          <w:tcPr>
            <w:tcW w:w="2330" w:type="dxa"/>
          </w:tcPr>
          <w:p w14:paraId="6968AD45" w14:textId="77777777"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FCC31B1" w14:textId="77777777"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79B3649" w14:textId="77777777"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87E400C" w14:textId="77777777"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4E6BE8AC" w14:textId="77777777"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14:paraId="06591735" w14:textId="77777777" w:rsidTr="003B2105">
        <w:tc>
          <w:tcPr>
            <w:tcW w:w="2330" w:type="dxa"/>
          </w:tcPr>
          <w:p w14:paraId="07A09850" w14:textId="77777777"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14:paraId="36FFE94A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2A58684" w14:textId="77777777"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14:paraId="73262621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1991B853" w14:textId="77777777"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2DBF192" w14:textId="77777777"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14:paraId="6ACF330C" w14:textId="0A57FED0"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</w:t>
      </w:r>
      <w:proofErr w:type="gramStart"/>
      <w:r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proofErr w:type="gramEnd"/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E0C5A">
        <w:rPr>
          <w:rFonts w:eastAsia="Times New Roman" w:cs="Times New Roman"/>
          <w:b/>
          <w:color w:val="auto"/>
          <w:sz w:val="18"/>
          <w:szCs w:val="18"/>
        </w:rPr>
        <w:t>Ju</w:t>
      </w:r>
      <w:r w:rsidR="00551E81">
        <w:rPr>
          <w:rFonts w:eastAsia="Times New Roman" w:cs="Times New Roman"/>
          <w:b/>
          <w:color w:val="auto"/>
          <w:sz w:val="18"/>
          <w:szCs w:val="18"/>
        </w:rPr>
        <w:t>ly 18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14:paraId="29E6385D" w14:textId="77777777" w:rsidR="003B2105" w:rsidRPr="00315BAB" w:rsidRDefault="002C1E00" w:rsidP="008844A0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 / Education: Jackie</w:t>
      </w:r>
    </w:p>
    <w:p w14:paraId="000D1BEF" w14:textId="77777777"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14:paraId="11F552A1" w14:textId="77777777"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14:paraId="0B6FA3D0" w14:textId="77777777"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14:paraId="54EC21F8" w14:textId="77777777"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14:paraId="01E012B7" w14:textId="77777777" w:rsidR="00315BAB" w:rsidRDefault="002F23B5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2F23B5">
        <w:rPr>
          <w:noProof/>
        </w:rPr>
        <w:drawing>
          <wp:inline distT="0" distB="0" distL="0" distR="0" wp14:anchorId="01BCFAFD" wp14:editId="49F56FD6">
            <wp:extent cx="7223760" cy="9988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9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A9BCC" w14:textId="77777777" w:rsidR="00315BAB" w:rsidRPr="00431646" w:rsidRDefault="00315BAB" w:rsidP="003C5130">
      <w:pPr>
        <w:rPr>
          <w:rFonts w:eastAsia="Times New Roman" w:cs="Times New Roman"/>
          <w:color w:val="auto"/>
        </w:rPr>
      </w:pPr>
    </w:p>
    <w:p w14:paraId="3F77A61F" w14:textId="77777777" w:rsidR="00315BAB" w:rsidRPr="00431646" w:rsidRDefault="00431646" w:rsidP="003C5130">
      <w:pPr>
        <w:rPr>
          <w:rFonts w:eastAsia="Times New Roman" w:cs="Times New Roman"/>
          <w:color w:val="auto"/>
        </w:rPr>
      </w:pPr>
      <w:r w:rsidRPr="00431646">
        <w:rPr>
          <w:rFonts w:eastAsia="Times New Roman" w:cs="Times New Roman"/>
          <w:color w:val="auto"/>
        </w:rPr>
        <w:t>Notes from mid-MI mtg 5/18:</w:t>
      </w:r>
    </w:p>
    <w:p w14:paraId="6C2CC8E5" w14:textId="77777777" w:rsidR="00431646" w:rsidRPr="00431646" w:rsidRDefault="00431646" w:rsidP="00431646">
      <w:pPr>
        <w:pStyle w:val="ListParagraph"/>
        <w:numPr>
          <w:ilvl w:val="0"/>
          <w:numId w:val="12"/>
        </w:numPr>
        <w:rPr>
          <w:rFonts w:eastAsia="Times New Roman" w:cs="Times New Roman"/>
          <w:color w:val="auto"/>
        </w:rPr>
      </w:pPr>
      <w:r w:rsidRPr="00431646">
        <w:rPr>
          <w:rFonts w:eastAsia="Times New Roman" w:cs="Times New Roman"/>
          <w:color w:val="auto"/>
        </w:rPr>
        <w:t>Voting was verbal</w:t>
      </w:r>
      <w:r>
        <w:rPr>
          <w:rFonts w:eastAsia="Times New Roman" w:cs="Times New Roman"/>
          <w:color w:val="auto"/>
        </w:rPr>
        <w:t>, asked only for t</w:t>
      </w:r>
      <w:r w:rsidR="00577AA3">
        <w:rPr>
          <w:rFonts w:eastAsia="Times New Roman" w:cs="Times New Roman"/>
          <w:color w:val="auto"/>
        </w:rPr>
        <w:t>hose not in favor, not ayes/nay</w:t>
      </w:r>
      <w:r>
        <w:rPr>
          <w:rFonts w:eastAsia="Times New Roman" w:cs="Times New Roman"/>
          <w:color w:val="auto"/>
        </w:rPr>
        <w:t>s</w:t>
      </w:r>
    </w:p>
    <w:p w14:paraId="0D23DB5A" w14:textId="77777777" w:rsidR="00431646" w:rsidRDefault="00431646" w:rsidP="00431646">
      <w:pPr>
        <w:pStyle w:val="ListParagraph"/>
        <w:numPr>
          <w:ilvl w:val="0"/>
          <w:numId w:val="12"/>
        </w:numPr>
        <w:rPr>
          <w:rFonts w:eastAsia="Times New Roman" w:cs="Times New Roman"/>
          <w:color w:val="auto"/>
        </w:rPr>
      </w:pPr>
      <w:r w:rsidRPr="00431646">
        <w:rPr>
          <w:rFonts w:eastAsia="Times New Roman" w:cs="Times New Roman"/>
          <w:color w:val="auto"/>
        </w:rPr>
        <w:t>Industry study – 5 SSGs + SCG, then voted for the best: GD won over MOG and HEI</w:t>
      </w:r>
      <w:r>
        <w:rPr>
          <w:rFonts w:eastAsia="Times New Roman" w:cs="Times New Roman"/>
          <w:color w:val="auto"/>
        </w:rPr>
        <w:t xml:space="preserve"> – put GD on the pounce list</w:t>
      </w:r>
    </w:p>
    <w:p w14:paraId="33A2BD60" w14:textId="77777777" w:rsidR="009C1E7C" w:rsidRPr="00431646" w:rsidRDefault="009C1E7C" w:rsidP="00431646">
      <w:pPr>
        <w:pStyle w:val="ListParagraph"/>
        <w:numPr>
          <w:ilvl w:val="0"/>
          <w:numId w:val="12"/>
        </w:num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Members were eager to volunteer to do SSGs and studies, unlike </w:t>
      </w:r>
      <w:proofErr w:type="spellStart"/>
      <w:r>
        <w:rPr>
          <w:rFonts w:eastAsia="Times New Roman" w:cs="Times New Roman"/>
          <w:color w:val="auto"/>
        </w:rPr>
        <w:t>CinMIC</w:t>
      </w:r>
      <w:proofErr w:type="spellEnd"/>
    </w:p>
    <w:p w14:paraId="0547CFC4" w14:textId="77777777" w:rsidR="008844A0" w:rsidRDefault="008844A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14:paraId="2EFA350C" w14:textId="77777777"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5339"/>
    <w:rsid w:val="0003612E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95E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0773"/>
    <w:rsid w:val="000E27C3"/>
    <w:rsid w:val="000E528D"/>
    <w:rsid w:val="000E591C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EA4"/>
    <w:rsid w:val="00107228"/>
    <w:rsid w:val="00107AE9"/>
    <w:rsid w:val="00111B0B"/>
    <w:rsid w:val="00112853"/>
    <w:rsid w:val="00112FA4"/>
    <w:rsid w:val="001156F3"/>
    <w:rsid w:val="00116762"/>
    <w:rsid w:val="00123F20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46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3A7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1E00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3B5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5BAB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20B0"/>
    <w:rsid w:val="00393B9A"/>
    <w:rsid w:val="00395C8E"/>
    <w:rsid w:val="00397B56"/>
    <w:rsid w:val="003A0A30"/>
    <w:rsid w:val="003A0E5D"/>
    <w:rsid w:val="003A16F4"/>
    <w:rsid w:val="003A210E"/>
    <w:rsid w:val="003A3A27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0C05"/>
    <w:rsid w:val="00411667"/>
    <w:rsid w:val="00411D17"/>
    <w:rsid w:val="00414FA5"/>
    <w:rsid w:val="00415B71"/>
    <w:rsid w:val="00416044"/>
    <w:rsid w:val="004207E4"/>
    <w:rsid w:val="00426773"/>
    <w:rsid w:val="004275F7"/>
    <w:rsid w:val="00431646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14B4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77AA3"/>
    <w:rsid w:val="0058014E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24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8B9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2219"/>
    <w:rsid w:val="005F3809"/>
    <w:rsid w:val="005F5232"/>
    <w:rsid w:val="005F72D0"/>
    <w:rsid w:val="005F7568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8F5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4C1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64E58"/>
    <w:rsid w:val="00767A81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7649"/>
    <w:rsid w:val="00843EF0"/>
    <w:rsid w:val="00844EFC"/>
    <w:rsid w:val="008456C8"/>
    <w:rsid w:val="00846A6D"/>
    <w:rsid w:val="00846AB3"/>
    <w:rsid w:val="0085157E"/>
    <w:rsid w:val="00852779"/>
    <w:rsid w:val="008540C6"/>
    <w:rsid w:val="0085646F"/>
    <w:rsid w:val="00856611"/>
    <w:rsid w:val="00860176"/>
    <w:rsid w:val="00860FE9"/>
    <w:rsid w:val="00861F4F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2B35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11D0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DA6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4B59"/>
    <w:rsid w:val="00956F35"/>
    <w:rsid w:val="00957C64"/>
    <w:rsid w:val="0096314F"/>
    <w:rsid w:val="009649CF"/>
    <w:rsid w:val="00965542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1610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38D6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1AA8"/>
    <w:rsid w:val="00AC2A6B"/>
    <w:rsid w:val="00AC2F60"/>
    <w:rsid w:val="00AC3714"/>
    <w:rsid w:val="00AC5ABF"/>
    <w:rsid w:val="00AC5B03"/>
    <w:rsid w:val="00AC6C03"/>
    <w:rsid w:val="00AC7340"/>
    <w:rsid w:val="00AC7AAC"/>
    <w:rsid w:val="00AD28DA"/>
    <w:rsid w:val="00AE1758"/>
    <w:rsid w:val="00AE56EF"/>
    <w:rsid w:val="00AE5DD7"/>
    <w:rsid w:val="00AE691E"/>
    <w:rsid w:val="00AE790E"/>
    <w:rsid w:val="00AE7AA9"/>
    <w:rsid w:val="00AE7FBF"/>
    <w:rsid w:val="00AF437D"/>
    <w:rsid w:val="00AF7FF1"/>
    <w:rsid w:val="00B0031A"/>
    <w:rsid w:val="00B00DDF"/>
    <w:rsid w:val="00B03113"/>
    <w:rsid w:val="00B03A17"/>
    <w:rsid w:val="00B062DE"/>
    <w:rsid w:val="00B077C4"/>
    <w:rsid w:val="00B10CC0"/>
    <w:rsid w:val="00B11DE6"/>
    <w:rsid w:val="00B142B5"/>
    <w:rsid w:val="00B149CA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5235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1CD8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59D5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95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2CE6"/>
    <w:rsid w:val="00C13ACC"/>
    <w:rsid w:val="00C23F33"/>
    <w:rsid w:val="00C2449A"/>
    <w:rsid w:val="00C2773A"/>
    <w:rsid w:val="00C279AE"/>
    <w:rsid w:val="00C34649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241"/>
    <w:rsid w:val="00C60B99"/>
    <w:rsid w:val="00C62E10"/>
    <w:rsid w:val="00C63277"/>
    <w:rsid w:val="00C66C4E"/>
    <w:rsid w:val="00C67D07"/>
    <w:rsid w:val="00C71F28"/>
    <w:rsid w:val="00C722FB"/>
    <w:rsid w:val="00C72475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27A17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43E4"/>
    <w:rsid w:val="00D74F6A"/>
    <w:rsid w:val="00D769BD"/>
    <w:rsid w:val="00D77C45"/>
    <w:rsid w:val="00D8378A"/>
    <w:rsid w:val="00D867BD"/>
    <w:rsid w:val="00D87885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0EED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17499"/>
    <w:rsid w:val="00E174D4"/>
    <w:rsid w:val="00E21655"/>
    <w:rsid w:val="00E226F3"/>
    <w:rsid w:val="00E227D0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A1505"/>
    <w:rsid w:val="00EA1BB3"/>
    <w:rsid w:val="00EA579A"/>
    <w:rsid w:val="00EA5993"/>
    <w:rsid w:val="00EA6DC5"/>
    <w:rsid w:val="00EA6EEA"/>
    <w:rsid w:val="00EB04BE"/>
    <w:rsid w:val="00EB08EA"/>
    <w:rsid w:val="00EB647F"/>
    <w:rsid w:val="00EB74A9"/>
    <w:rsid w:val="00EC31E0"/>
    <w:rsid w:val="00EC64B2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4526F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56DA"/>
    <w:rsid w:val="00F95C29"/>
    <w:rsid w:val="00F972CA"/>
    <w:rsid w:val="00F973B9"/>
    <w:rsid w:val="00F97485"/>
    <w:rsid w:val="00F97FAD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AAF4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Cheryl Hargett</cp:lastModifiedBy>
  <cp:revision>3</cp:revision>
  <cp:lastPrinted>2020-05-16T13:09:00Z</cp:lastPrinted>
  <dcterms:created xsi:type="dcterms:W3CDTF">2020-06-24T01:13:00Z</dcterms:created>
  <dcterms:modified xsi:type="dcterms:W3CDTF">2020-06-24T12:41:00Z</dcterms:modified>
</cp:coreProperties>
</file>