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EB966" w14:textId="77777777"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9F5C630" wp14:editId="44C0FE12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14:paraId="26EB641C" w14:textId="035EC952"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 xml:space="preserve">Cincinnati Model Investment Club </w:t>
      </w:r>
      <w:r w:rsidR="0025453F">
        <w:rPr>
          <w:rStyle w:val="Heading1Char"/>
          <w:b/>
        </w:rPr>
        <w:t>Minutes</w:t>
      </w:r>
      <w:r w:rsidRPr="00BC11F5">
        <w:rPr>
          <w:b w:val="0"/>
          <w:sz w:val="24"/>
        </w:rPr>
        <w:t xml:space="preserve"> </w:t>
      </w:r>
    </w:p>
    <w:p w14:paraId="2F6C48C9" w14:textId="05DB792D"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Sat. </w:t>
      </w:r>
      <w:r w:rsidR="00FF167E">
        <w:rPr>
          <w:sz w:val="24"/>
          <w:szCs w:val="24"/>
        </w:rPr>
        <w:t>Apr 18</w:t>
      </w:r>
      <w:r w:rsidR="002E606E">
        <w:rPr>
          <w:sz w:val="24"/>
          <w:szCs w:val="24"/>
        </w:rPr>
        <w:t>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14:paraId="68310CDA" w14:textId="35EE65F7" w:rsidR="00F670FA" w:rsidRDefault="00F132C9" w:rsidP="00F670F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  <w:r w:rsidR="00982FD0">
        <w:rPr>
          <w:rFonts w:eastAsia="Times New Roman" w:cs="Times New Roman"/>
          <w:b/>
          <w:sz w:val="24"/>
          <w:szCs w:val="24"/>
        </w:rPr>
        <w:t xml:space="preserve"> Club </w:t>
      </w:r>
    </w:p>
    <w:p w14:paraId="37CDD980" w14:textId="6F1DDB8A" w:rsidR="00554F49" w:rsidRDefault="00554F49" w:rsidP="00F670F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677C2761" w14:textId="20FFA3F5" w:rsidR="00554F49" w:rsidRDefault="00554F49" w:rsidP="00F670F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Style w:val="TableGrid0"/>
        <w:tblW w:w="11785" w:type="dxa"/>
        <w:jc w:val="center"/>
        <w:tblLook w:val="04A0" w:firstRow="1" w:lastRow="0" w:firstColumn="1" w:lastColumn="0" w:noHBand="0" w:noVBand="1"/>
      </w:tblPr>
      <w:tblGrid>
        <w:gridCol w:w="1803"/>
        <w:gridCol w:w="1688"/>
        <w:gridCol w:w="1543"/>
        <w:gridCol w:w="1684"/>
        <w:gridCol w:w="1620"/>
        <w:gridCol w:w="1034"/>
        <w:gridCol w:w="1133"/>
        <w:gridCol w:w="1777"/>
      </w:tblGrid>
      <w:tr w:rsidR="00554F49" w14:paraId="346806C9" w14:textId="77777777" w:rsidTr="00554F49">
        <w:trPr>
          <w:trHeight w:val="3968"/>
          <w:jc w:val="center"/>
        </w:trPr>
        <w:tc>
          <w:tcPr>
            <w:tcW w:w="1803" w:type="dxa"/>
            <w:vAlign w:val="center"/>
          </w:tcPr>
          <w:p w14:paraId="15D12A68" w14:textId="5EB72496" w:rsidR="00554F49" w:rsidRDefault="00554F49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F07D34">
              <w:rPr>
                <w:rFonts w:eastAsia="Times New Roman" w:cs="Times New Roman"/>
                <w:color w:val="auto"/>
              </w:rPr>
              <w:t xml:space="preserve">  </w:t>
            </w:r>
            <w:r w:rsidR="00DE513F">
              <w:rPr>
                <w:rFonts w:eastAsia="Times New Roman" w:cs="Times New Roman"/>
                <w:color w:val="auto"/>
              </w:rPr>
              <w:t>Call to Order</w:t>
            </w:r>
          </w:p>
          <w:p w14:paraId="33037FB6" w14:textId="529D242D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    9:4</w:t>
            </w:r>
            <w:r w:rsidR="00C767C5">
              <w:rPr>
                <w:rFonts w:eastAsia="Times New Roman" w:cs="Times New Roman"/>
                <w:color w:val="auto"/>
              </w:rPr>
              <w:t>8</w:t>
            </w:r>
          </w:p>
          <w:p w14:paraId="0DD90D56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12A4C189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2830CCAA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71765071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026E5482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429BB43C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3920508C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6010C771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2B20D3FC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002F1721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2349CC44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3E22A6DD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05E6C4D6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5A47445D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291D7D6B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0B49BD55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0A6689BC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1EB2D261" w14:textId="77777777" w:rsidR="00DE513F" w:rsidRDefault="00DE513F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365D54CD" w14:textId="1ABEA453" w:rsidR="00DE513F" w:rsidRPr="00F07D34" w:rsidRDefault="00DE513F" w:rsidP="00554F49">
            <w:pPr>
              <w:pStyle w:val="NoSpacing"/>
              <w:rPr>
                <w:color w:val="auto"/>
              </w:rPr>
            </w:pPr>
          </w:p>
        </w:tc>
        <w:tc>
          <w:tcPr>
            <w:tcW w:w="9982" w:type="dxa"/>
            <w:gridSpan w:val="7"/>
            <w:vAlign w:val="center"/>
          </w:tcPr>
          <w:p w14:paraId="6E44243F" w14:textId="2C4A352C" w:rsidR="00554F49" w:rsidRDefault="00554F49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tbl>
            <w:tblPr>
              <w:tblStyle w:val="TableGrid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60"/>
              <w:gridCol w:w="9193"/>
            </w:tblGrid>
            <w:tr w:rsidR="00DE513F" w14:paraId="798A08C0" w14:textId="77777777" w:rsidTr="00DE513F">
              <w:trPr>
                <w:trHeight w:val="360"/>
                <w:jc w:val="center"/>
              </w:trPr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A2D6D" w14:textId="7104C2EE" w:rsidR="00DE513F" w:rsidRDefault="00DE513F" w:rsidP="00DE513F">
                  <w:pPr>
                    <w:pStyle w:val="NoSpacing"/>
                    <w:rPr>
                      <w:color w:val="auto"/>
                    </w:rPr>
                  </w:pPr>
                  <w:r>
                    <w:rPr>
                      <w:rFonts w:eastAsia="Times New Roman" w:cs="Times New Roman"/>
                      <w:color w:val="auto"/>
                    </w:rPr>
                    <w:t xml:space="preserve"> </w:t>
                  </w:r>
                </w:p>
              </w:tc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DA9DB" w14:textId="77777777" w:rsidR="00DE513F" w:rsidRDefault="00DE513F" w:rsidP="00DE513F">
                  <w:pPr>
                    <w:pStyle w:val="NoSpacing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Rich Alden, Presiding Partner, greeting, attendance, proxies, note guests present and on web. RECORD</w:t>
                  </w:r>
                </w:p>
              </w:tc>
            </w:tr>
          </w:tbl>
          <w:p w14:paraId="6CCDF8E8" w14:textId="77777777" w:rsidR="00554F49" w:rsidRDefault="00554F49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</w:p>
          <w:p w14:paraId="472F7115" w14:textId="781F422A" w:rsidR="00554F49" w:rsidRPr="00A525C3" w:rsidRDefault="00554F49" w:rsidP="00554F49">
            <w:pPr>
              <w:widowControl w:val="0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b/>
                <w:lang w:val="en"/>
              </w:rPr>
              <w:t xml:space="preserve">Guests on Webinar: </w:t>
            </w:r>
            <w:r>
              <w:rPr>
                <w:rFonts w:cstheme="minorHAnsi"/>
                <w:lang w:val="en"/>
              </w:rPr>
              <w:t xml:space="preserve">Susan </w:t>
            </w:r>
            <w:proofErr w:type="spellStart"/>
            <w:r>
              <w:rPr>
                <w:rFonts w:cstheme="minorHAnsi"/>
                <w:lang w:val="en"/>
              </w:rPr>
              <w:t>Tanoe</w:t>
            </w:r>
            <w:proofErr w:type="spellEnd"/>
            <w:r>
              <w:rPr>
                <w:rFonts w:cstheme="minorHAnsi"/>
                <w:lang w:val="en"/>
              </w:rPr>
              <w:t>,</w:t>
            </w:r>
            <w:r w:rsidR="00FB4799">
              <w:rPr>
                <w:rFonts w:cstheme="minorHAnsi"/>
                <w:lang w:val="en"/>
              </w:rPr>
              <w:t xml:space="preserve"> </w:t>
            </w:r>
            <w:r>
              <w:rPr>
                <w:rFonts w:cstheme="minorHAnsi"/>
                <w:lang w:val="en"/>
              </w:rPr>
              <w:t xml:space="preserve">Linda Miller, Joe Farrell, Catherine </w:t>
            </w:r>
            <w:proofErr w:type="spellStart"/>
            <w:r>
              <w:rPr>
                <w:rFonts w:cstheme="minorHAnsi"/>
                <w:lang w:val="en"/>
              </w:rPr>
              <w:t>MacEachen</w:t>
            </w:r>
            <w:proofErr w:type="spellEnd"/>
            <w:r>
              <w:rPr>
                <w:rFonts w:cstheme="minorHAnsi"/>
                <w:lang w:val="en"/>
              </w:rPr>
              <w:t xml:space="preserve">, Sharon Lindquist </w:t>
            </w:r>
            <w:proofErr w:type="gramStart"/>
            <w:r>
              <w:rPr>
                <w:rFonts w:cstheme="minorHAnsi"/>
                <w:lang w:val="en"/>
              </w:rPr>
              <w:t>Skelly,  Dan</w:t>
            </w:r>
            <w:proofErr w:type="gramEnd"/>
            <w:r>
              <w:rPr>
                <w:rFonts w:cstheme="minorHAnsi"/>
                <w:lang w:val="en"/>
              </w:rPr>
              <w:t xml:space="preserve"> Kuhl,</w:t>
            </w:r>
            <w:r w:rsidR="00FB4799">
              <w:rPr>
                <w:rFonts w:cstheme="minorHAnsi"/>
                <w:lang w:val="en"/>
              </w:rPr>
              <w:t xml:space="preserve"> Bill Harv</w:t>
            </w:r>
            <w:r w:rsidR="004B78C8">
              <w:rPr>
                <w:rFonts w:cstheme="minorHAnsi"/>
                <w:lang w:val="en"/>
              </w:rPr>
              <w:t>e</w:t>
            </w:r>
            <w:r w:rsidR="00FB4799">
              <w:rPr>
                <w:rFonts w:cstheme="minorHAnsi"/>
                <w:lang w:val="en"/>
              </w:rPr>
              <w:t>y</w:t>
            </w:r>
            <w:r w:rsidR="004B78C8">
              <w:rPr>
                <w:rFonts w:cstheme="minorHAnsi"/>
                <w:lang w:val="en"/>
              </w:rPr>
              <w:t>, Belinda Wenzel, Don Collier, Ian Barnes, John Miller, Mary Dickey, William Baker, Theresa Barnes</w:t>
            </w:r>
          </w:p>
          <w:p w14:paraId="02121790" w14:textId="77777777" w:rsidR="00554F49" w:rsidRPr="00A525C3" w:rsidRDefault="00554F49" w:rsidP="00554F49">
            <w:pPr>
              <w:widowControl w:val="0"/>
              <w:rPr>
                <w:rFonts w:cstheme="minorHAnsi"/>
                <w:lang w:val="en"/>
              </w:rPr>
            </w:pPr>
          </w:p>
          <w:tbl>
            <w:tblPr>
              <w:tblW w:w="10255" w:type="dxa"/>
              <w:tblInd w:w="1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CellMar>
                <w:left w:w="102" w:type="dxa"/>
              </w:tblCellMar>
              <w:tblLook w:val="0000" w:firstRow="0" w:lastRow="0" w:firstColumn="0" w:lastColumn="0" w:noHBand="0" w:noVBand="0"/>
            </w:tblPr>
            <w:tblGrid>
              <w:gridCol w:w="3236"/>
              <w:gridCol w:w="990"/>
              <w:gridCol w:w="1170"/>
              <w:gridCol w:w="2788"/>
              <w:gridCol w:w="810"/>
              <w:gridCol w:w="1261"/>
            </w:tblGrid>
            <w:tr w:rsidR="00554F49" w:rsidRPr="00A525C3" w14:paraId="09EF1E34" w14:textId="77777777" w:rsidTr="007C4804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B1E9621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Name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F7226EA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Here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94BAEF2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Proxy</w:t>
                  </w: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7836399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Name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690D979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Here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DF3B837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Proxy</w:t>
                  </w:r>
                </w:p>
              </w:tc>
            </w:tr>
            <w:tr w:rsidR="00554F49" w:rsidRPr="00A525C3" w14:paraId="669F2749" w14:textId="77777777" w:rsidTr="007C4804">
              <w:trPr>
                <w:trHeight w:val="25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5666D0F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Jackie Koski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572ACD2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B5CBC00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FA4F8F4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Harrison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Baumbaugh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6EFA83E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3163940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554F49" w:rsidRPr="00A525C3" w14:paraId="41BE6350" w14:textId="77777777" w:rsidTr="007C4804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2B30FF6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Betsy Eller, Financial Partner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A780E2F" w14:textId="0D1C6406" w:rsidR="00554F49" w:rsidRPr="00A525C3" w:rsidRDefault="00C767C5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AC4F54B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1033562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Mary Thomas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323C31A" w14:textId="5629C659" w:rsidR="00554F49" w:rsidRPr="00A525C3" w:rsidRDefault="00C767C5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E006F66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554F49" w:rsidRPr="00A525C3" w14:paraId="07246EAF" w14:textId="77777777" w:rsidTr="007C4804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FF4DAF0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Craig Jacobsen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F801217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F42BB38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E153C65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Gregg Hopkins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FBABB7F" w14:textId="5FE047CD" w:rsidR="00554F49" w:rsidRPr="00A525C3" w:rsidRDefault="003E2251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9B7B195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554F49" w:rsidRPr="00A525C3" w14:paraId="4FDBC42D" w14:textId="77777777" w:rsidTr="007C4804">
              <w:trPr>
                <w:trHeight w:val="170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BB6E2FA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Marty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Eckerle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22E5B86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77A0130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E8C82A6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Nelson Page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F7D0FF1" w14:textId="007492B8" w:rsidR="00554F49" w:rsidRPr="00A525C3" w:rsidRDefault="00054C66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---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BD97149" w14:textId="23418F8B" w:rsidR="00554F49" w:rsidRPr="00A525C3" w:rsidRDefault="00DE513F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>
                    <w:rPr>
                      <w:rFonts w:cstheme="minorHAnsi"/>
                      <w:lang w:val="en"/>
                    </w:rPr>
                    <w:t>Dene</w:t>
                  </w:r>
                </w:p>
              </w:tc>
            </w:tr>
            <w:tr w:rsidR="00554F49" w:rsidRPr="00A525C3" w14:paraId="18C14FA4" w14:textId="77777777" w:rsidTr="007C4804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D01D734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Gerry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Geverdt</w:t>
                  </w:r>
                  <w:proofErr w:type="spellEnd"/>
                  <w:r w:rsidRPr="00A525C3">
                    <w:rPr>
                      <w:rFonts w:cstheme="minorHAnsi"/>
                      <w:lang w:val="en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AA9AC1A" w14:textId="0FFF7EF1" w:rsidR="00554F49" w:rsidRPr="00A525C3" w:rsidRDefault="003E2251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A3C1C7E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F1DC658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Michele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Grinoch</w:t>
                  </w:r>
                  <w:proofErr w:type="spellEnd"/>
                  <w:r w:rsidRPr="00A525C3">
                    <w:rPr>
                      <w:rFonts w:cstheme="minorHAnsi"/>
                      <w:lang w:val="en"/>
                    </w:rPr>
                    <w:t xml:space="preserve"> 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44EFD21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551A8B1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554F49" w:rsidRPr="00A525C3" w14:paraId="05EAF282" w14:textId="77777777" w:rsidTr="007C4804">
              <w:trPr>
                <w:trHeight w:val="69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B19090A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Dene Alden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A7CA2E5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A81F200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62DB66E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Kate Lester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2BC57ED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E860141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554F49" w:rsidRPr="00A525C3" w14:paraId="060E76ED" w14:textId="77777777" w:rsidTr="007C4804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1661B2D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Richard Alden, Presiding Partner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52D5ECB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89A7C99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9AAADCE" w14:textId="6A5C24CA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>
                    <w:rPr>
                      <w:rFonts w:cstheme="minorHAnsi"/>
                      <w:lang w:val="en"/>
                    </w:rPr>
                    <w:t>Eugene Burnett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3DAA8D4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68BA390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554F49" w:rsidRPr="00A525C3" w14:paraId="47D2FD0D" w14:textId="77777777" w:rsidTr="007C4804">
              <w:trPr>
                <w:trHeight w:val="305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3F50AA2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Cheryl Hargett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AA5CCF5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5B4A041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D74C1DE" w14:textId="19BD1B34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33E3CD6" w14:textId="3F955245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5B0B9C1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554F49" w:rsidRPr="00A525C3" w14:paraId="1D66F945" w14:textId="77777777" w:rsidTr="007C4804">
              <w:trPr>
                <w:trHeight w:val="305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442B0B2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Bill Meehan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D814F65" w14:textId="3E20511A" w:rsidR="00554F49" w:rsidRPr="00A525C3" w:rsidRDefault="00C767C5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  <w:r>
                    <w:rPr>
                      <w:rFonts w:cstheme="minorHAnsi"/>
                      <w:lang w:val="en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4CF880B" w14:textId="426614E8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8A2EA3C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D00CA47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25CCE66" w14:textId="77777777" w:rsidR="00554F49" w:rsidRPr="00A525C3" w:rsidRDefault="00554F49" w:rsidP="00554F49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</w:tbl>
          <w:p w14:paraId="12759A38" w14:textId="77777777" w:rsidR="00554F49" w:rsidRPr="00A525C3" w:rsidRDefault="00554F49" w:rsidP="00554F49">
            <w:pPr>
              <w:widowControl w:val="0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Note: Parentheses denote provisional presence or proxies should members not be present for the full meeting</w:t>
            </w:r>
          </w:p>
          <w:p w14:paraId="44AA1B21" w14:textId="4870FC18" w:rsidR="00554F49" w:rsidRDefault="00554F49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054A96">
              <w:rPr>
                <w:rFonts w:eastAsia="Times New Roman" w:cs="Times New Roman"/>
                <w:color w:val="auto"/>
              </w:rPr>
              <w:t xml:space="preserve">Minutes for </w:t>
            </w:r>
            <w:r>
              <w:rPr>
                <w:rFonts w:eastAsia="Times New Roman" w:cs="Times New Roman"/>
                <w:color w:val="auto"/>
              </w:rPr>
              <w:t xml:space="preserve">Feb 15, 2020 meeting posted to </w:t>
            </w:r>
            <w:proofErr w:type="spellStart"/>
            <w:r>
              <w:rPr>
                <w:rFonts w:eastAsia="Times New Roman" w:cs="Times New Roman"/>
                <w:color w:val="auto"/>
              </w:rPr>
              <w:t>bivio</w:t>
            </w:r>
            <w:proofErr w:type="spellEnd"/>
            <w:r>
              <w:rPr>
                <w:rFonts w:eastAsia="Times New Roman" w:cs="Times New Roman"/>
                <w:color w:val="auto"/>
              </w:rPr>
              <w:t xml:space="preserve"> on Mar 7.</w:t>
            </w:r>
            <w:r w:rsidRPr="00054A96">
              <w:rPr>
                <w:rFonts w:eastAsia="Times New Roman" w:cs="Times New Roman"/>
                <w:color w:val="auto"/>
              </w:rPr>
              <w:t xml:space="preserve"> </w:t>
            </w:r>
            <w:r w:rsidRPr="00BF4DB9">
              <w:rPr>
                <w:rFonts w:eastAsia="Times New Roman" w:cs="Times New Roman"/>
                <w:color w:val="auto"/>
              </w:rPr>
              <w:t xml:space="preserve">Corrections </w:t>
            </w:r>
            <w:r>
              <w:rPr>
                <w:rFonts w:eastAsia="Times New Roman" w:cs="Times New Roman"/>
                <w:color w:val="auto"/>
              </w:rPr>
              <w:t>or additions?</w:t>
            </w:r>
          </w:p>
          <w:p w14:paraId="358B19C2" w14:textId="155F699F" w:rsidR="00554F49" w:rsidRPr="002A219B" w:rsidRDefault="00554F49" w:rsidP="00554F49">
            <w:pPr>
              <w:pStyle w:val="NoSpacing"/>
              <w:rPr>
                <w:rFonts w:eastAsia="Times New Roman" w:cs="Times New Roman"/>
              </w:rPr>
            </w:pPr>
          </w:p>
        </w:tc>
      </w:tr>
      <w:tr w:rsidR="00554F49" w14:paraId="6FC268FB" w14:textId="77777777" w:rsidTr="00554F49">
        <w:trPr>
          <w:trHeight w:val="386"/>
          <w:jc w:val="center"/>
        </w:trPr>
        <w:tc>
          <w:tcPr>
            <w:tcW w:w="1803" w:type="dxa"/>
            <w:vAlign w:val="center"/>
          </w:tcPr>
          <w:p w14:paraId="15D928A9" w14:textId="77777777" w:rsidR="00554F49" w:rsidRPr="00F07D34" w:rsidRDefault="00554F49" w:rsidP="00554F4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 Minutes</w:t>
            </w:r>
            <w:r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9982" w:type="dxa"/>
            <w:gridSpan w:val="7"/>
            <w:vAlign w:val="center"/>
          </w:tcPr>
          <w:p w14:paraId="46F9947D" w14:textId="049D92E4" w:rsidR="00554F49" w:rsidRPr="00A82FE2" w:rsidRDefault="00554F49" w:rsidP="00554F49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054A96">
              <w:rPr>
                <w:rFonts w:eastAsia="Times New Roman" w:cs="Times New Roman"/>
                <w:color w:val="auto"/>
              </w:rPr>
              <w:t xml:space="preserve">Minutes for </w:t>
            </w:r>
            <w:r>
              <w:rPr>
                <w:rFonts w:eastAsia="Times New Roman" w:cs="Times New Roman"/>
                <w:color w:val="auto"/>
              </w:rPr>
              <w:t xml:space="preserve">Mar 21, 2020 meeting posted to </w:t>
            </w:r>
            <w:proofErr w:type="spellStart"/>
            <w:r>
              <w:rPr>
                <w:rFonts w:eastAsia="Times New Roman" w:cs="Times New Roman"/>
                <w:color w:val="auto"/>
              </w:rPr>
              <w:t>bivio</w:t>
            </w:r>
            <w:proofErr w:type="spellEnd"/>
            <w:r>
              <w:rPr>
                <w:rFonts w:eastAsia="Times New Roman" w:cs="Times New Roman"/>
                <w:color w:val="auto"/>
              </w:rPr>
              <w:t xml:space="preserve"> on Mar 2</w:t>
            </w:r>
            <w:r w:rsidR="002A6305">
              <w:rPr>
                <w:rFonts w:eastAsia="Times New Roman" w:cs="Times New Roman"/>
                <w:color w:val="auto"/>
              </w:rPr>
              <w:t>4</w:t>
            </w:r>
            <w:r>
              <w:rPr>
                <w:rFonts w:eastAsia="Times New Roman" w:cs="Times New Roman"/>
                <w:color w:val="auto"/>
              </w:rPr>
              <w:t xml:space="preserve">, 2020. </w:t>
            </w:r>
            <w:r w:rsidRPr="00BF4DB9">
              <w:rPr>
                <w:rFonts w:eastAsia="Times New Roman" w:cs="Times New Roman"/>
                <w:color w:val="auto"/>
              </w:rPr>
              <w:t xml:space="preserve">Corrections </w:t>
            </w:r>
            <w:r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554F49" w14:paraId="47D89770" w14:textId="77777777" w:rsidTr="00554F49">
        <w:trPr>
          <w:trHeight w:val="360"/>
          <w:jc w:val="center"/>
        </w:trPr>
        <w:tc>
          <w:tcPr>
            <w:tcW w:w="1803" w:type="dxa"/>
            <w:vAlign w:val="center"/>
          </w:tcPr>
          <w:p w14:paraId="104262C4" w14:textId="77777777" w:rsidR="00554F49" w:rsidRPr="00F07D34" w:rsidRDefault="00554F49" w:rsidP="00554F4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9:55 Financial Report</w:t>
            </w:r>
          </w:p>
        </w:tc>
        <w:tc>
          <w:tcPr>
            <w:tcW w:w="9982" w:type="dxa"/>
            <w:gridSpan w:val="7"/>
            <w:vAlign w:val="center"/>
          </w:tcPr>
          <w:p w14:paraId="5DD3BD29" w14:textId="12424080" w:rsidR="00554F49" w:rsidRDefault="00554F49" w:rsidP="00554F49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Current financial report, current cash balance</w:t>
            </w:r>
            <w:r w:rsidRPr="00EA1BB3">
              <w:rPr>
                <w:color w:val="auto"/>
              </w:rPr>
              <w:t xml:space="preserve"> </w:t>
            </w:r>
            <w:r>
              <w:rPr>
                <w:color w:val="auto"/>
              </w:rPr>
              <w:t>$</w:t>
            </w:r>
            <w:r w:rsidR="00FB4799">
              <w:rPr>
                <w:color w:val="auto"/>
              </w:rPr>
              <w:t xml:space="preserve">3837.53 </w:t>
            </w:r>
            <w:r>
              <w:rPr>
                <w:color w:val="auto"/>
              </w:rPr>
              <w:t>only $</w:t>
            </w:r>
            <w:r w:rsidR="00FB4799">
              <w:rPr>
                <w:color w:val="auto"/>
              </w:rPr>
              <w:t>1887.08</w:t>
            </w:r>
            <w:r>
              <w:rPr>
                <w:color w:val="auto"/>
              </w:rPr>
              <w:t xml:space="preserve"> of which is available for </w:t>
            </w:r>
            <w:proofErr w:type="gramStart"/>
            <w:r>
              <w:rPr>
                <w:color w:val="auto"/>
              </w:rPr>
              <w:t>payout;</w:t>
            </w:r>
            <w:proofErr w:type="gramEnd"/>
            <w:r>
              <w:rPr>
                <w:color w:val="auto"/>
              </w:rPr>
              <w:t xml:space="preserve"> file for audit. </w:t>
            </w:r>
          </w:p>
          <w:p w14:paraId="1F0CC46F" w14:textId="7740A667" w:rsidR="00554F49" w:rsidRPr="008250C4" w:rsidRDefault="00554F49" w:rsidP="00554F49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Reimbursement for mailing</w:t>
            </w:r>
            <w:r w:rsidR="00F72B21">
              <w:rPr>
                <w:color w:val="auto"/>
              </w:rPr>
              <w:t xml:space="preserve"> to Betsy.</w:t>
            </w:r>
          </w:p>
        </w:tc>
      </w:tr>
      <w:tr w:rsidR="00554F49" w:rsidRPr="002B6A94" w14:paraId="14338953" w14:textId="77777777" w:rsidTr="00554F49">
        <w:trPr>
          <w:trHeight w:val="566"/>
          <w:jc w:val="center"/>
        </w:trPr>
        <w:tc>
          <w:tcPr>
            <w:tcW w:w="1803" w:type="dxa"/>
            <w:vAlign w:val="center"/>
          </w:tcPr>
          <w:p w14:paraId="5B36779B" w14:textId="77777777" w:rsidR="00554F49" w:rsidRPr="00F07D34" w:rsidRDefault="00554F49" w:rsidP="00554F4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10:00 Announcements</w:t>
            </w:r>
          </w:p>
        </w:tc>
        <w:tc>
          <w:tcPr>
            <w:tcW w:w="9982" w:type="dxa"/>
            <w:gridSpan w:val="7"/>
            <w:vAlign w:val="center"/>
          </w:tcPr>
          <w:p w14:paraId="53975FEE" w14:textId="31AF4FC4" w:rsidR="00554F49" w:rsidRDefault="00554F49" w:rsidP="00554F49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“What Are These Mutual Funds in My Investment Account” – special online presentation by Jackie Cummings Koski and the OKI Tri-State Chapter, Thu, April 2</w:t>
            </w:r>
            <w:r w:rsidR="00A76805">
              <w:rPr>
                <w:color w:val="auto"/>
              </w:rPr>
              <w:t>3</w:t>
            </w:r>
            <w:r>
              <w:rPr>
                <w:color w:val="auto"/>
              </w:rPr>
              <w:t>, 2020, 8:30-9:30p</w:t>
            </w:r>
          </w:p>
          <w:p w14:paraId="71481981" w14:textId="77777777" w:rsidR="00554F49" w:rsidRDefault="00554F49" w:rsidP="00554F49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2B6A94">
              <w:rPr>
                <w:color w:val="auto"/>
              </w:rPr>
              <w:t xml:space="preserve">Classes and webinars: see </w:t>
            </w:r>
            <w:proofErr w:type="spellStart"/>
            <w:r w:rsidRPr="002B6A94">
              <w:rPr>
                <w:color w:val="auto"/>
              </w:rPr>
              <w:t>BetterInvesting</w:t>
            </w:r>
            <w:proofErr w:type="spellEnd"/>
            <w:r w:rsidRPr="002B6A94">
              <w:rPr>
                <w:color w:val="auto"/>
              </w:rPr>
              <w:t xml:space="preserve"> Magazine ONLINE section opposite CONTENTS. Other investing educational sessions: </w:t>
            </w:r>
            <w:r>
              <w:rPr>
                <w:color w:val="auto"/>
              </w:rPr>
              <w:t xml:space="preserve">Register on the BI web site for “Ticker Talk” and Stock-Up”. </w:t>
            </w:r>
          </w:p>
          <w:p w14:paraId="76076737" w14:textId="77777777" w:rsidR="00554F49" w:rsidRDefault="00554F49" w:rsidP="00554F49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2B6A94">
              <w:rPr>
                <w:color w:val="auto"/>
              </w:rPr>
              <w:t xml:space="preserve">“The Roundtable” and “Turn Out Tuesday” </w:t>
            </w:r>
            <w:r>
              <w:rPr>
                <w:color w:val="auto"/>
              </w:rPr>
              <w:t>occurs</w:t>
            </w:r>
            <w:r w:rsidRPr="002B6A94">
              <w:rPr>
                <w:color w:val="auto"/>
              </w:rPr>
              <w:t xml:space="preserve"> each month sponsored by BI Mid-Michigan</w:t>
            </w:r>
            <w:r>
              <w:rPr>
                <w:color w:val="auto"/>
              </w:rPr>
              <w:t xml:space="preserve"> Chapter</w:t>
            </w:r>
            <w:r w:rsidRPr="002B6A94">
              <w:rPr>
                <w:color w:val="auto"/>
              </w:rPr>
              <w:t xml:space="preserve">. Register with both by contacting: </w:t>
            </w:r>
            <w:hyperlink r:id="rId6" w:history="1">
              <w:r w:rsidRPr="00A84157">
                <w:rPr>
                  <w:rStyle w:val="Hyperlink"/>
                  <w:color w:val="auto"/>
                </w:rPr>
                <w:t>nkavula1@comcast.net</w:t>
              </w:r>
            </w:hyperlink>
            <w:r w:rsidRPr="002B6A94">
              <w:rPr>
                <w:color w:val="auto"/>
              </w:rPr>
              <w:t>.</w:t>
            </w:r>
          </w:p>
          <w:p w14:paraId="150FA4D7" w14:textId="77777777" w:rsidR="00554F49" w:rsidRPr="00887076" w:rsidRDefault="00554F49" w:rsidP="00554F49">
            <w:pPr>
              <w:pStyle w:val="NoSpacing"/>
              <w:rPr>
                <w:rFonts w:cs="Times New Roman"/>
                <w:color w:val="0563C1" w:themeColor="hyperlink"/>
                <w:szCs w:val="20"/>
                <w:u w:val="single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>
              <w:rPr>
                <w:rStyle w:val="Hyperlink"/>
              </w:rPr>
              <w:t xml:space="preserve">, </w:t>
            </w:r>
            <w:r>
              <w:rPr>
                <w:rFonts w:cs="Times New Roman"/>
                <w:color w:val="auto"/>
                <w:szCs w:val="20"/>
              </w:rPr>
              <w:t>P</w:t>
            </w:r>
            <w:r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54F49" w:rsidRPr="002B6A94" w14:paraId="476ADBDF" w14:textId="77777777" w:rsidTr="00554F49">
        <w:tblPrEx>
          <w:jc w:val="left"/>
        </w:tblPrEx>
        <w:trPr>
          <w:trHeight w:val="377"/>
        </w:trPr>
        <w:tc>
          <w:tcPr>
            <w:tcW w:w="1803" w:type="dxa"/>
            <w:vAlign w:val="center"/>
          </w:tcPr>
          <w:p w14:paraId="1827F7FE" w14:textId="77777777" w:rsidR="00554F49" w:rsidRPr="00F07D34" w:rsidRDefault="00554F49" w:rsidP="00554F4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10:05 Old Business</w:t>
            </w:r>
          </w:p>
        </w:tc>
        <w:tc>
          <w:tcPr>
            <w:tcW w:w="9982" w:type="dxa"/>
            <w:gridSpan w:val="7"/>
            <w:vAlign w:val="center"/>
          </w:tcPr>
          <w:p w14:paraId="50617FA6" w14:textId="13CF8BB9" w:rsidR="00554F49" w:rsidRPr="005045DA" w:rsidRDefault="00554F49" w:rsidP="00554F49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Presentation schedule </w:t>
            </w:r>
            <w:r w:rsidR="00A76805">
              <w:rPr>
                <w:color w:val="auto"/>
              </w:rPr>
              <w:t xml:space="preserve">need some </w:t>
            </w:r>
            <w:proofErr w:type="gramStart"/>
            <w:r w:rsidR="00A76805">
              <w:rPr>
                <w:color w:val="auto"/>
              </w:rPr>
              <w:t xml:space="preserve">revision </w:t>
            </w:r>
            <w:r>
              <w:rPr>
                <w:color w:val="auto"/>
              </w:rPr>
              <w:t>,</w:t>
            </w:r>
            <w:proofErr w:type="gramEnd"/>
            <w:r>
              <w:rPr>
                <w:color w:val="auto"/>
              </w:rPr>
              <w:t xml:space="preserve"> see below</w:t>
            </w:r>
            <w:r w:rsidR="00A76805">
              <w:rPr>
                <w:color w:val="auto"/>
              </w:rPr>
              <w:t xml:space="preserve">. Mary did education in March. Jackie </w:t>
            </w:r>
            <w:proofErr w:type="gramStart"/>
            <w:r w:rsidR="00A76805">
              <w:rPr>
                <w:color w:val="auto"/>
              </w:rPr>
              <w:t>can’t</w:t>
            </w:r>
            <w:proofErr w:type="gramEnd"/>
            <w:r w:rsidR="00A76805">
              <w:rPr>
                <w:color w:val="auto"/>
              </w:rPr>
              <w:t xml:space="preserve"> do a stock study in May needs to be after June. Bill and Rich will work on this. </w:t>
            </w:r>
          </w:p>
        </w:tc>
      </w:tr>
      <w:tr w:rsidR="00554F49" w:rsidRPr="002B6A94" w14:paraId="017621E1" w14:textId="77777777" w:rsidTr="00554F49">
        <w:tblPrEx>
          <w:jc w:val="left"/>
        </w:tblPrEx>
        <w:trPr>
          <w:trHeight w:val="386"/>
        </w:trPr>
        <w:tc>
          <w:tcPr>
            <w:tcW w:w="1803" w:type="dxa"/>
            <w:vAlign w:val="center"/>
          </w:tcPr>
          <w:p w14:paraId="6981C84F" w14:textId="77777777" w:rsidR="00554F49" w:rsidRPr="00F07D34" w:rsidRDefault="00554F49" w:rsidP="00554F4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10:10 New Business</w:t>
            </w:r>
          </w:p>
        </w:tc>
        <w:tc>
          <w:tcPr>
            <w:tcW w:w="9982" w:type="dxa"/>
            <w:gridSpan w:val="7"/>
            <w:vAlign w:val="center"/>
          </w:tcPr>
          <w:p w14:paraId="32EE77C9" w14:textId="54000719" w:rsidR="00554F49" w:rsidRPr="007B4B01" w:rsidRDefault="00554F49" w:rsidP="00554F49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May Meeting date </w:t>
            </w:r>
            <w:r w:rsidR="00A76805">
              <w:rPr>
                <w:color w:val="auto"/>
              </w:rPr>
              <w:t>was changed</w:t>
            </w:r>
            <w:r w:rsidR="00054C66">
              <w:rPr>
                <w:color w:val="auto"/>
              </w:rPr>
              <w:t xml:space="preserve"> back</w:t>
            </w:r>
            <w:r w:rsidR="00A76805">
              <w:rPr>
                <w:color w:val="auto"/>
              </w:rPr>
              <w:t xml:space="preserve"> to </w:t>
            </w:r>
            <w:r>
              <w:rPr>
                <w:color w:val="auto"/>
              </w:rPr>
              <w:t>5/16</w:t>
            </w:r>
            <w:r w:rsidR="00A76805">
              <w:rPr>
                <w:color w:val="auto"/>
              </w:rPr>
              <w:t xml:space="preserve"> as BINC has been cancelled</w:t>
            </w:r>
            <w:r w:rsidR="00F72B21">
              <w:rPr>
                <w:color w:val="auto"/>
              </w:rPr>
              <w:t xml:space="preserve"> due to Corona virus concerns</w:t>
            </w:r>
            <w:r w:rsidR="00A76805">
              <w:rPr>
                <w:color w:val="auto"/>
              </w:rPr>
              <w:t>.</w:t>
            </w:r>
          </w:p>
        </w:tc>
      </w:tr>
      <w:tr w:rsidR="00554F49" w:rsidRPr="002B6A94" w14:paraId="2CC8F9BC" w14:textId="77777777" w:rsidTr="00554F49">
        <w:trPr>
          <w:trHeight w:val="377"/>
          <w:jc w:val="center"/>
        </w:trPr>
        <w:tc>
          <w:tcPr>
            <w:tcW w:w="1803" w:type="dxa"/>
            <w:vAlign w:val="center"/>
          </w:tcPr>
          <w:p w14:paraId="2BFE6FA2" w14:textId="77777777" w:rsidR="00554F49" w:rsidRPr="00F07D34" w:rsidRDefault="00554F49" w:rsidP="00554F49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 xml:space="preserve">10:15 </w:t>
            </w:r>
            <w:r>
              <w:rPr>
                <w:rFonts w:eastAsia="Times New Roman" w:cs="Times New Roman"/>
                <w:b/>
                <w:color w:val="auto"/>
              </w:rPr>
              <w:t xml:space="preserve">Group </w:t>
            </w:r>
            <w:r w:rsidRPr="00F07D34">
              <w:rPr>
                <w:rFonts w:eastAsia="Times New Roman" w:cs="Times New Roman"/>
                <w:b/>
                <w:color w:val="auto"/>
              </w:rPr>
              <w:t>Stock Study</w:t>
            </w:r>
          </w:p>
        </w:tc>
        <w:tc>
          <w:tcPr>
            <w:tcW w:w="9982" w:type="dxa"/>
            <w:gridSpan w:val="7"/>
            <w:vAlign w:val="center"/>
          </w:tcPr>
          <w:p w14:paraId="5B0D6AD9" w14:textId="1D8F68B7" w:rsidR="00554F49" w:rsidRPr="00762AB2" w:rsidRDefault="00554F49" w:rsidP="00554F49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Nelson, Harrison, Rich:  Review AAPL, TSCO and LRCX for possible sell</w:t>
            </w:r>
            <w:r w:rsidR="00A76805">
              <w:rPr>
                <w:color w:val="auto"/>
              </w:rPr>
              <w:t xml:space="preserve">. </w:t>
            </w:r>
            <w:r w:rsidR="00054C66">
              <w:rPr>
                <w:color w:val="auto"/>
              </w:rPr>
              <w:t>Group stock stud</w:t>
            </w:r>
            <w:r w:rsidR="0027424F">
              <w:rPr>
                <w:color w:val="auto"/>
              </w:rPr>
              <w:t>y</w:t>
            </w:r>
            <w:r w:rsidR="00054C66">
              <w:rPr>
                <w:color w:val="auto"/>
              </w:rPr>
              <w:t xml:space="preserve"> focused on</w:t>
            </w:r>
            <w:r w:rsidR="0027424F">
              <w:rPr>
                <w:color w:val="auto"/>
              </w:rPr>
              <w:t xml:space="preserve"> Compound annual return with forecast average P/E.</w:t>
            </w:r>
            <w:r w:rsidR="00D25418">
              <w:rPr>
                <w:color w:val="auto"/>
              </w:rPr>
              <w:t xml:space="preserve"> Used SSG’s as a start for stock study. Reality check focused on SSG, Value Line and other data. AAPL consumer electronics has good trend lines</w:t>
            </w:r>
            <w:r w:rsidR="00D03F0D">
              <w:rPr>
                <w:color w:val="auto"/>
              </w:rPr>
              <w:t>,</w:t>
            </w:r>
            <w:r w:rsidR="00D25418">
              <w:rPr>
                <w:color w:val="auto"/>
              </w:rPr>
              <w:t xml:space="preserve"> with the exception</w:t>
            </w:r>
            <w:r w:rsidR="003733F2">
              <w:rPr>
                <w:color w:val="auto"/>
              </w:rPr>
              <w:t>,</w:t>
            </w:r>
            <w:r w:rsidR="00D25418">
              <w:rPr>
                <w:color w:val="auto"/>
              </w:rPr>
              <w:t xml:space="preserve"> of the pretax profit margins. </w:t>
            </w:r>
            <w:r w:rsidR="00D03F0D">
              <w:rPr>
                <w:color w:val="auto"/>
              </w:rPr>
              <w:t>LRCX</w:t>
            </w:r>
            <w:r w:rsidR="00D25418">
              <w:rPr>
                <w:color w:val="auto"/>
              </w:rPr>
              <w:t xml:space="preserve"> </w:t>
            </w:r>
            <w:r w:rsidR="00D03F0D">
              <w:rPr>
                <w:color w:val="auto"/>
              </w:rPr>
              <w:t>Has a great sales rate of 20.3%, but also a high debt rate of 35.1.</w:t>
            </w:r>
            <w:r w:rsidR="00D25418">
              <w:rPr>
                <w:color w:val="auto"/>
              </w:rPr>
              <w:t xml:space="preserve"> </w:t>
            </w:r>
            <w:r w:rsidR="003733F2">
              <w:rPr>
                <w:color w:val="auto"/>
              </w:rPr>
              <w:t>The company is in the design, manufacture, and marketing</w:t>
            </w:r>
            <w:r w:rsidR="00D25418">
              <w:rPr>
                <w:color w:val="auto"/>
              </w:rPr>
              <w:t xml:space="preserve"> </w:t>
            </w:r>
            <w:r w:rsidR="003733F2">
              <w:rPr>
                <w:color w:val="auto"/>
              </w:rPr>
              <w:t xml:space="preserve">of semiconductors. TSCO is a unique merchandise retail store. It just acquired </w:t>
            </w:r>
            <w:proofErr w:type="spellStart"/>
            <w:r w:rsidR="003733F2">
              <w:rPr>
                <w:color w:val="auto"/>
              </w:rPr>
              <w:t>Petsense</w:t>
            </w:r>
            <w:proofErr w:type="spellEnd"/>
            <w:r w:rsidR="003733F2">
              <w:rPr>
                <w:color w:val="auto"/>
              </w:rPr>
              <w:t>-pet products. It features specialty items for the hobby farmer. It has a new distribution center in New York and plans to expand more in the west coast. On the SCG AAPL had 3 points</w:t>
            </w:r>
            <w:r w:rsidR="00B23F1F">
              <w:rPr>
                <w:color w:val="auto"/>
              </w:rPr>
              <w:t>, LRCX 8 points, and TSCO 5 points. TSCO was the only stock in the buy range. All three are strong good companies. Club could not make this decision</w:t>
            </w:r>
            <w:r w:rsidR="0039697A">
              <w:rPr>
                <w:color w:val="auto"/>
              </w:rPr>
              <w:t xml:space="preserve"> to sell</w:t>
            </w:r>
            <w:r w:rsidR="00B23F1F">
              <w:rPr>
                <w:color w:val="auto"/>
              </w:rPr>
              <w:t xml:space="preserve"> as the market is just not stable with corona virus volatility. Second quarter earnings may give a better idea of where we are.</w:t>
            </w:r>
          </w:p>
        </w:tc>
      </w:tr>
      <w:tr w:rsidR="00554F49" w:rsidRPr="00D96148" w14:paraId="3B7795D7" w14:textId="77777777" w:rsidTr="00554F49">
        <w:trPr>
          <w:trHeight w:val="368"/>
          <w:jc w:val="center"/>
        </w:trPr>
        <w:tc>
          <w:tcPr>
            <w:tcW w:w="1803" w:type="dxa"/>
            <w:vAlign w:val="center"/>
          </w:tcPr>
          <w:p w14:paraId="35217CDC" w14:textId="77777777" w:rsidR="00554F49" w:rsidRDefault="00554F49" w:rsidP="00554F49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11:00 Portfolio Review</w:t>
            </w:r>
          </w:p>
        </w:tc>
        <w:tc>
          <w:tcPr>
            <w:tcW w:w="9982" w:type="dxa"/>
            <w:gridSpan w:val="7"/>
            <w:vAlign w:val="center"/>
          </w:tcPr>
          <w:p w14:paraId="60BFDC69" w14:textId="3ABF2F28" w:rsidR="00554F49" w:rsidRPr="00FA6ADA" w:rsidRDefault="00554F49" w:rsidP="00554F49">
            <w:pPr>
              <w:pStyle w:val="NoSpacing"/>
            </w:pPr>
            <w:r>
              <w:rPr>
                <w:rFonts w:cs="Times New Roman"/>
                <w:color w:val="auto"/>
                <w:szCs w:val="20"/>
              </w:rPr>
              <w:t xml:space="preserve">- Marty’s analysis of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CinMIC’s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</w:t>
            </w:r>
            <w:r w:rsidR="00B23F1F">
              <w:rPr>
                <w:rFonts w:cs="Times New Roman"/>
                <w:color w:val="auto"/>
                <w:szCs w:val="20"/>
              </w:rPr>
              <w:t xml:space="preserve">. This was difficult with the crazy market. LRCX, CHRW, Danaher, HD, and TSCO were all at </w:t>
            </w:r>
            <w:r w:rsidR="00F72B21">
              <w:rPr>
                <w:rFonts w:cs="Times New Roman"/>
                <w:color w:val="auto"/>
                <w:szCs w:val="20"/>
              </w:rPr>
              <w:t>minus 4 on the pert report.</w:t>
            </w:r>
          </w:p>
        </w:tc>
      </w:tr>
      <w:tr w:rsidR="00554F49" w:rsidRPr="00D96148" w14:paraId="39C2AB68" w14:textId="77777777" w:rsidTr="00554F49">
        <w:trPr>
          <w:trHeight w:val="368"/>
          <w:jc w:val="center"/>
        </w:trPr>
        <w:tc>
          <w:tcPr>
            <w:tcW w:w="1803" w:type="dxa"/>
            <w:vAlign w:val="center"/>
          </w:tcPr>
          <w:p w14:paraId="75BC2FF2" w14:textId="77777777" w:rsidR="00554F49" w:rsidRPr="00A33AAE" w:rsidRDefault="00554F49" w:rsidP="00554F49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9982" w:type="dxa"/>
            <w:gridSpan w:val="7"/>
            <w:vAlign w:val="center"/>
          </w:tcPr>
          <w:p w14:paraId="4F8844C2" w14:textId="3B6A2CC1" w:rsidR="00554F49" w:rsidRPr="00A33AAE" w:rsidRDefault="00554F49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A33AAE">
              <w:rPr>
                <w:rFonts w:cs="Times New Roman"/>
                <w:color w:val="auto"/>
                <w:szCs w:val="20"/>
              </w:rPr>
              <w:t xml:space="preserve">- </w:t>
            </w:r>
            <w:r>
              <w:rPr>
                <w:rFonts w:cs="Times New Roman"/>
                <w:color w:val="auto"/>
                <w:szCs w:val="20"/>
              </w:rPr>
              <w:t>Discussion of the impact COVID-19 is having on members’ portfolio</w:t>
            </w:r>
            <w:r w:rsidR="00F72B21">
              <w:rPr>
                <w:rFonts w:cs="Times New Roman"/>
                <w:color w:val="auto"/>
                <w:szCs w:val="20"/>
              </w:rPr>
              <w:t>. Hard to analy</w:t>
            </w:r>
            <w:r w:rsidR="000E245A">
              <w:rPr>
                <w:rFonts w:cs="Times New Roman"/>
                <w:color w:val="auto"/>
                <w:szCs w:val="20"/>
              </w:rPr>
              <w:t>z</w:t>
            </w:r>
            <w:r w:rsidR="00F72B21">
              <w:rPr>
                <w:rFonts w:cs="Times New Roman"/>
                <w:color w:val="auto"/>
                <w:szCs w:val="20"/>
              </w:rPr>
              <w:t>e data. Some companies do not give guidance</w:t>
            </w:r>
            <w:r w:rsidR="000E245A">
              <w:rPr>
                <w:rFonts w:cs="Times New Roman"/>
                <w:color w:val="auto"/>
                <w:szCs w:val="20"/>
              </w:rPr>
              <w:t>. Many Fluctuations and large number of unemployed workers. Best to use limit order when buying.</w:t>
            </w:r>
            <w:r w:rsidR="0039697A">
              <w:rPr>
                <w:rFonts w:cs="Times New Roman"/>
                <w:color w:val="auto"/>
                <w:szCs w:val="20"/>
              </w:rPr>
              <w:t xml:space="preserve"> Shut down of economy quite disruptive.</w:t>
            </w:r>
          </w:p>
        </w:tc>
      </w:tr>
      <w:tr w:rsidR="00554F49" w:rsidRPr="00D96148" w14:paraId="5B1B0344" w14:textId="77777777" w:rsidTr="00554F49">
        <w:trPr>
          <w:trHeight w:val="368"/>
          <w:jc w:val="center"/>
        </w:trPr>
        <w:tc>
          <w:tcPr>
            <w:tcW w:w="1803" w:type="dxa"/>
            <w:vAlign w:val="center"/>
          </w:tcPr>
          <w:p w14:paraId="7C3681F4" w14:textId="77777777" w:rsidR="00554F49" w:rsidRPr="00D96148" w:rsidRDefault="00554F49" w:rsidP="00554F49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lastRenderedPageBreak/>
              <w:t>11:30</w:t>
            </w:r>
            <w:r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Buy/Hold/ Sell</w:t>
            </w:r>
            <w:r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9982" w:type="dxa"/>
            <w:gridSpan w:val="7"/>
            <w:vAlign w:val="center"/>
          </w:tcPr>
          <w:p w14:paraId="25F1AD55" w14:textId="51A374D4" w:rsidR="006875CD" w:rsidRDefault="006875CD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Dene/Marty buy 5 shares ILMN $241.50 limit 15/0/1</w:t>
            </w:r>
          </w:p>
          <w:p w14:paraId="4242B1E8" w14:textId="2939F719" w:rsidR="006875CD" w:rsidRDefault="006875CD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Mary/Craig sell all 60 shares NSP $41</w:t>
            </w:r>
            <w:proofErr w:type="gramStart"/>
            <w:r>
              <w:rPr>
                <w:rFonts w:cs="Times New Roman"/>
                <w:color w:val="auto"/>
                <w:szCs w:val="20"/>
              </w:rPr>
              <w:t xml:space="preserve">.  </w:t>
            </w:r>
            <w:proofErr w:type="gramEnd"/>
            <w:r>
              <w:rPr>
                <w:rFonts w:cs="Times New Roman"/>
                <w:color w:val="auto"/>
                <w:szCs w:val="20"/>
              </w:rPr>
              <w:t>Market 14/2</w:t>
            </w:r>
          </w:p>
          <w:p w14:paraId="4C5FD89C" w14:textId="14AC5845" w:rsidR="006875CD" w:rsidRDefault="006875CD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Dene/Harrison buy 10 shares V $150 Limit 16/0/</w:t>
            </w:r>
            <w:r w:rsidR="00290EA9">
              <w:rPr>
                <w:rFonts w:cs="Times New Roman"/>
                <w:color w:val="auto"/>
                <w:szCs w:val="20"/>
              </w:rPr>
              <w:t>0</w:t>
            </w:r>
          </w:p>
          <w:p w14:paraId="0211102D" w14:textId="056B31F9" w:rsidR="006875CD" w:rsidRDefault="006875CD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7C68CF6E" w14:textId="614A77D1" w:rsidR="006875CD" w:rsidRDefault="006875CD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In order to give everyone a stock study and relieve those who have 2</w:t>
            </w:r>
            <w:r w:rsidR="0039697A">
              <w:rPr>
                <w:rFonts w:cs="Times New Roman"/>
                <w:color w:val="auto"/>
                <w:szCs w:val="20"/>
              </w:rPr>
              <w:t xml:space="preserve"> stocks</w:t>
            </w:r>
            <w:r>
              <w:rPr>
                <w:rFonts w:cs="Times New Roman"/>
                <w:color w:val="auto"/>
                <w:szCs w:val="20"/>
              </w:rPr>
              <w:t xml:space="preserve"> these changes have been made.</w:t>
            </w:r>
          </w:p>
          <w:p w14:paraId="5DFA8089" w14:textId="6E21EB6C" w:rsidR="006875CD" w:rsidRDefault="006875CD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26517E67" w14:textId="4CE75A7A" w:rsidR="006875CD" w:rsidRDefault="006875CD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Gene will follow V—Marty to help Gene with </w:t>
            </w:r>
            <w:r w:rsidR="0039697A">
              <w:rPr>
                <w:rFonts w:cs="Times New Roman"/>
                <w:color w:val="auto"/>
                <w:szCs w:val="20"/>
              </w:rPr>
              <w:t xml:space="preserve">his first several stock to watch </w:t>
            </w:r>
          </w:p>
          <w:p w14:paraId="028DE594" w14:textId="77777777" w:rsidR="0039697A" w:rsidRDefault="0039697A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6286D475" w14:textId="00E37228" w:rsidR="0039697A" w:rsidRDefault="0039697A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Dene will follow VHT</w:t>
            </w:r>
          </w:p>
          <w:p w14:paraId="309F2B38" w14:textId="6549D025" w:rsidR="0039697A" w:rsidRDefault="0039697A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5BC307C0" w14:textId="624204EC" w:rsidR="0039697A" w:rsidRDefault="0039697A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Mary will follow CBRE</w:t>
            </w:r>
          </w:p>
          <w:p w14:paraId="76EAFCCC" w14:textId="77777777" w:rsidR="0039697A" w:rsidRDefault="0039697A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7CCAA6BA" w14:textId="77777777" w:rsidR="006875CD" w:rsidRDefault="006875CD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0501B345" w14:textId="77777777" w:rsidR="006875CD" w:rsidRDefault="006875CD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6338E700" w14:textId="319C17D8" w:rsidR="006875CD" w:rsidRDefault="0039697A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Craig requested HEI to be added to pounce list and Gene will follow HEI</w:t>
            </w:r>
          </w:p>
          <w:p w14:paraId="1C402705" w14:textId="77777777" w:rsidR="006875CD" w:rsidRDefault="006875CD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12AF2F7D" w14:textId="77777777" w:rsidR="006875CD" w:rsidRDefault="006875CD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34EA1395" w14:textId="77777777" w:rsidR="006875CD" w:rsidRDefault="006875CD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372F8E82" w14:textId="77777777" w:rsidR="006875CD" w:rsidRDefault="006875CD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5224714A" w14:textId="12FE0C6E" w:rsidR="006875CD" w:rsidRPr="00D96148" w:rsidRDefault="006875CD" w:rsidP="00554F49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</w:tc>
      </w:tr>
      <w:tr w:rsidR="00554F49" w:rsidRPr="00D96148" w14:paraId="77CF028E" w14:textId="77777777" w:rsidTr="00554F49">
        <w:tblPrEx>
          <w:jc w:val="left"/>
        </w:tblPrEx>
        <w:trPr>
          <w:trHeight w:val="403"/>
        </w:trPr>
        <w:tc>
          <w:tcPr>
            <w:tcW w:w="1803" w:type="dxa"/>
            <w:vAlign w:val="center"/>
            <w:hideMark/>
          </w:tcPr>
          <w:p w14:paraId="36592A4F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608" w:type="dxa"/>
            <w:vAlign w:val="center"/>
            <w:hideMark/>
          </w:tcPr>
          <w:p w14:paraId="15B8F40A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470" w:type="dxa"/>
            <w:vAlign w:val="center"/>
            <w:hideMark/>
          </w:tcPr>
          <w:p w14:paraId="7376E737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604" w:type="dxa"/>
            <w:vAlign w:val="center"/>
            <w:hideMark/>
          </w:tcPr>
          <w:p w14:paraId="3391230A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543" w:type="dxa"/>
            <w:vAlign w:val="center"/>
            <w:hideMark/>
          </w:tcPr>
          <w:p w14:paraId="61FA0C6D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85" w:type="dxa"/>
            <w:vAlign w:val="center"/>
            <w:hideMark/>
          </w:tcPr>
          <w:p w14:paraId="50BB8A9D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1079" w:type="dxa"/>
            <w:vAlign w:val="center"/>
          </w:tcPr>
          <w:p w14:paraId="45C17AC8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693" w:type="dxa"/>
            <w:vAlign w:val="center"/>
            <w:hideMark/>
          </w:tcPr>
          <w:p w14:paraId="2A902B04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554F49" w:rsidRPr="00D96148" w14:paraId="6A54FF29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  <w:hideMark/>
          </w:tcPr>
          <w:p w14:paraId="5BA1F413" w14:textId="77777777" w:rsidR="00554F49" w:rsidRPr="00D96148" w:rsidRDefault="00554F49" w:rsidP="00554F49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608" w:type="dxa"/>
            <w:noWrap/>
            <w:hideMark/>
          </w:tcPr>
          <w:p w14:paraId="6F1D6BB8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470" w:type="dxa"/>
            <w:noWrap/>
            <w:hideMark/>
          </w:tcPr>
          <w:p w14:paraId="56BA647C" w14:textId="77777777" w:rsidR="00554F49" w:rsidRPr="00D96148" w:rsidRDefault="00554F49" w:rsidP="00554F49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604" w:type="dxa"/>
            <w:noWrap/>
          </w:tcPr>
          <w:p w14:paraId="47ADBF97" w14:textId="77777777" w:rsidR="00554F49" w:rsidRDefault="00554F49" w:rsidP="00554F49">
            <w:pPr>
              <w:jc w:val="center"/>
            </w:pPr>
          </w:p>
        </w:tc>
        <w:tc>
          <w:tcPr>
            <w:tcW w:w="1543" w:type="dxa"/>
            <w:noWrap/>
          </w:tcPr>
          <w:p w14:paraId="6F9BD5D3" w14:textId="77777777" w:rsidR="00554F49" w:rsidRDefault="00554F49" w:rsidP="00554F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F4EA" w14:textId="3386567D" w:rsidR="00554F49" w:rsidRPr="00D96148" w:rsidRDefault="005308E3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930" w14:textId="6C78AECE" w:rsidR="00554F49" w:rsidRPr="00D96148" w:rsidRDefault="005308E3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7.7</w:t>
            </w:r>
          </w:p>
        </w:tc>
        <w:tc>
          <w:tcPr>
            <w:tcW w:w="1693" w:type="dxa"/>
            <w:noWrap/>
          </w:tcPr>
          <w:p w14:paraId="00D79AA9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554F49" w:rsidRPr="00D96148" w14:paraId="2DB5929B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</w:tcPr>
          <w:p w14:paraId="59CDC9D2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608" w:type="dxa"/>
            <w:noWrap/>
          </w:tcPr>
          <w:p w14:paraId="46C4613E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470" w:type="dxa"/>
            <w:noWrap/>
          </w:tcPr>
          <w:p w14:paraId="76D36D33" w14:textId="77777777" w:rsidR="00554F49" w:rsidRPr="00D96148" w:rsidRDefault="00554F49" w:rsidP="00554F49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604" w:type="dxa"/>
            <w:noWrap/>
          </w:tcPr>
          <w:p w14:paraId="28112A06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  <w:noWrap/>
          </w:tcPr>
          <w:p w14:paraId="3586029E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4A73" w14:textId="6CD70467" w:rsidR="00554F49" w:rsidRPr="00D96148" w:rsidRDefault="005308E3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22EC" w14:textId="602A318A" w:rsidR="00554F49" w:rsidRPr="00D96148" w:rsidRDefault="005308E3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6.7</w:t>
            </w:r>
          </w:p>
        </w:tc>
        <w:tc>
          <w:tcPr>
            <w:tcW w:w="1693" w:type="dxa"/>
            <w:noWrap/>
          </w:tcPr>
          <w:p w14:paraId="13E0AF66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54F49" w:rsidRPr="00D96148" w14:paraId="627AE601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  <w:hideMark/>
          </w:tcPr>
          <w:p w14:paraId="29C600C7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608" w:type="dxa"/>
            <w:noWrap/>
            <w:hideMark/>
          </w:tcPr>
          <w:p w14:paraId="2C189C2C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470" w:type="dxa"/>
            <w:noWrap/>
            <w:hideMark/>
          </w:tcPr>
          <w:p w14:paraId="472C2192" w14:textId="77777777" w:rsidR="00554F49" w:rsidRPr="00D96148" w:rsidRDefault="00554F49" w:rsidP="00554F49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604" w:type="dxa"/>
            <w:noWrap/>
          </w:tcPr>
          <w:p w14:paraId="0310B2DD" w14:textId="77777777" w:rsidR="00554F49" w:rsidRDefault="00554F49" w:rsidP="00554F49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  <w:noWrap/>
          </w:tcPr>
          <w:p w14:paraId="32AA6D13" w14:textId="77777777" w:rsidR="00554F49" w:rsidRDefault="00554F49" w:rsidP="00554F49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52DC" w14:textId="0726AE36" w:rsidR="00554F49" w:rsidRPr="00D96148" w:rsidRDefault="005308E3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46A" w14:textId="3B60CBD0" w:rsidR="00554F49" w:rsidRPr="00D96148" w:rsidRDefault="005308E3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7.5</w:t>
            </w:r>
          </w:p>
        </w:tc>
        <w:tc>
          <w:tcPr>
            <w:tcW w:w="1693" w:type="dxa"/>
            <w:noWrap/>
          </w:tcPr>
          <w:p w14:paraId="26F00EF7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54F49" w:rsidRPr="00D96148" w14:paraId="11246112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  <w:vAlign w:val="center"/>
          </w:tcPr>
          <w:p w14:paraId="1FD6B11F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608" w:type="dxa"/>
            <w:noWrap/>
            <w:vAlign w:val="center"/>
          </w:tcPr>
          <w:p w14:paraId="0A55B64D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470" w:type="dxa"/>
            <w:noWrap/>
            <w:vAlign w:val="center"/>
          </w:tcPr>
          <w:p w14:paraId="153F58C1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604" w:type="dxa"/>
            <w:noWrap/>
          </w:tcPr>
          <w:p w14:paraId="3A3CA11B" w14:textId="77777777" w:rsidR="00554F49" w:rsidRDefault="00554F49" w:rsidP="00554F49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  <w:noWrap/>
          </w:tcPr>
          <w:p w14:paraId="42FD5D1A" w14:textId="77777777" w:rsidR="00554F49" w:rsidRDefault="00554F49" w:rsidP="00554F49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958D" w14:textId="1F3EB69C" w:rsidR="00554F49" w:rsidRPr="00D96148" w:rsidRDefault="005308E3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F34C" w14:textId="78D16EF9" w:rsidR="00554F49" w:rsidRPr="00D96148" w:rsidRDefault="005308E3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4.9</w:t>
            </w:r>
          </w:p>
        </w:tc>
        <w:tc>
          <w:tcPr>
            <w:tcW w:w="1693" w:type="dxa"/>
            <w:noWrap/>
          </w:tcPr>
          <w:p w14:paraId="3CF4A9D7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54F49" w:rsidRPr="00D96148" w14:paraId="00BCDE06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</w:tcPr>
          <w:p w14:paraId="3BAC995A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608" w:type="dxa"/>
            <w:noWrap/>
          </w:tcPr>
          <w:p w14:paraId="6783D2CE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470" w:type="dxa"/>
            <w:noWrap/>
          </w:tcPr>
          <w:p w14:paraId="473B231E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604" w:type="dxa"/>
            <w:noWrap/>
          </w:tcPr>
          <w:p w14:paraId="42BF2086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  <w:noWrap/>
          </w:tcPr>
          <w:p w14:paraId="394F7A5D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18C7" w14:textId="71741E85" w:rsidR="00554F49" w:rsidRPr="00D96148" w:rsidRDefault="005308E3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FB7" w14:textId="3BD1679A" w:rsidR="00554F49" w:rsidRPr="00D96148" w:rsidRDefault="005308E3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6.1</w:t>
            </w:r>
          </w:p>
        </w:tc>
        <w:tc>
          <w:tcPr>
            <w:tcW w:w="1693" w:type="dxa"/>
            <w:noWrap/>
          </w:tcPr>
          <w:p w14:paraId="5881A5A7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54F49" w:rsidRPr="00D96148" w14:paraId="2E950C2E" w14:textId="77777777" w:rsidTr="00554F49">
        <w:tblPrEx>
          <w:jc w:val="left"/>
        </w:tblPrEx>
        <w:trPr>
          <w:trHeight w:val="260"/>
        </w:trPr>
        <w:tc>
          <w:tcPr>
            <w:tcW w:w="1803" w:type="dxa"/>
            <w:noWrap/>
            <w:hideMark/>
          </w:tcPr>
          <w:p w14:paraId="689E444D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608" w:type="dxa"/>
            <w:noWrap/>
            <w:hideMark/>
          </w:tcPr>
          <w:p w14:paraId="1AAF19B0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470" w:type="dxa"/>
            <w:noWrap/>
            <w:hideMark/>
          </w:tcPr>
          <w:p w14:paraId="4A794077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604" w:type="dxa"/>
            <w:noWrap/>
          </w:tcPr>
          <w:p w14:paraId="28AAF2AB" w14:textId="77777777" w:rsidR="00554F49" w:rsidRDefault="00554F49" w:rsidP="00554F49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  <w:noWrap/>
          </w:tcPr>
          <w:p w14:paraId="412C5101" w14:textId="77777777" w:rsidR="00554F49" w:rsidRDefault="00554F49" w:rsidP="00554F49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66C2" w14:textId="2874FDD8" w:rsidR="00554F49" w:rsidRPr="00D96148" w:rsidRDefault="005308E3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00B0" w14:textId="70776A3B" w:rsidR="00554F49" w:rsidRPr="00D96148" w:rsidRDefault="005308E3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11.5</w:t>
            </w:r>
          </w:p>
        </w:tc>
        <w:tc>
          <w:tcPr>
            <w:tcW w:w="1693" w:type="dxa"/>
            <w:noWrap/>
          </w:tcPr>
          <w:p w14:paraId="737A1C1A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54F49" w:rsidRPr="00D96148" w14:paraId="2D8A9232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  <w:hideMark/>
          </w:tcPr>
          <w:p w14:paraId="27010892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608" w:type="dxa"/>
            <w:noWrap/>
            <w:hideMark/>
          </w:tcPr>
          <w:p w14:paraId="6DB283EE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470" w:type="dxa"/>
            <w:noWrap/>
            <w:hideMark/>
          </w:tcPr>
          <w:p w14:paraId="747C38D2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604" w:type="dxa"/>
            <w:noWrap/>
          </w:tcPr>
          <w:p w14:paraId="5C9CB7C3" w14:textId="77777777" w:rsidR="00554F49" w:rsidRDefault="00554F49" w:rsidP="00554F49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  <w:noWrap/>
          </w:tcPr>
          <w:p w14:paraId="0342AE34" w14:textId="77777777" w:rsidR="00554F49" w:rsidRDefault="00554F49" w:rsidP="00554F49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A5C2" w14:textId="48632FA5" w:rsidR="00554F49" w:rsidRPr="00D96148" w:rsidRDefault="005308E3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50B" w14:textId="328E621F" w:rsidR="00554F49" w:rsidRPr="00D96148" w:rsidRDefault="005308E3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9.6</w:t>
            </w:r>
          </w:p>
        </w:tc>
        <w:tc>
          <w:tcPr>
            <w:tcW w:w="1693" w:type="dxa"/>
            <w:noWrap/>
          </w:tcPr>
          <w:p w14:paraId="6AF3FF00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54F49" w:rsidRPr="00D96148" w14:paraId="3672D80E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</w:tcPr>
          <w:p w14:paraId="381750EC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608" w:type="dxa"/>
            <w:noWrap/>
          </w:tcPr>
          <w:p w14:paraId="71882F85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470" w:type="dxa"/>
            <w:noWrap/>
          </w:tcPr>
          <w:p w14:paraId="1093ED97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604" w:type="dxa"/>
            <w:noWrap/>
          </w:tcPr>
          <w:p w14:paraId="160E7F77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  <w:noWrap/>
          </w:tcPr>
          <w:p w14:paraId="453CC841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3F27" w14:textId="74209202" w:rsidR="00554F49" w:rsidRPr="00D96148" w:rsidRDefault="005308E3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9754" w14:textId="07B2C3D0" w:rsidR="00554F49" w:rsidRPr="00D96148" w:rsidRDefault="005308E3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6.1</w:t>
            </w:r>
          </w:p>
        </w:tc>
        <w:tc>
          <w:tcPr>
            <w:tcW w:w="1693" w:type="dxa"/>
            <w:noWrap/>
          </w:tcPr>
          <w:p w14:paraId="01445B65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54F49" w:rsidRPr="00D96148" w14:paraId="1FE17089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  <w:vAlign w:val="center"/>
          </w:tcPr>
          <w:p w14:paraId="6ED76AEC" w14:textId="77777777" w:rsidR="00554F49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Illumina</w:t>
            </w:r>
          </w:p>
        </w:tc>
        <w:tc>
          <w:tcPr>
            <w:tcW w:w="1608" w:type="dxa"/>
            <w:noWrap/>
            <w:vAlign w:val="center"/>
          </w:tcPr>
          <w:p w14:paraId="592DE33B" w14:textId="77777777" w:rsidR="00554F49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470" w:type="dxa"/>
            <w:noWrap/>
            <w:vAlign w:val="center"/>
          </w:tcPr>
          <w:p w14:paraId="5073463E" w14:textId="77777777" w:rsidR="00554F49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604" w:type="dxa"/>
            <w:noWrap/>
          </w:tcPr>
          <w:p w14:paraId="715AA35E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10sh</w:t>
            </w:r>
          </w:p>
        </w:tc>
        <w:tc>
          <w:tcPr>
            <w:tcW w:w="1543" w:type="dxa"/>
            <w:noWrap/>
            <w:vAlign w:val="center"/>
          </w:tcPr>
          <w:p w14:paraId="3D3A4E1A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0627" w14:textId="7F7BAE86" w:rsidR="00554F49" w:rsidRPr="00D96148" w:rsidRDefault="005308E3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BD51" w14:textId="659CDEF2" w:rsidR="00554F49" w:rsidRPr="00D96148" w:rsidRDefault="005308E3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93" w:type="dxa"/>
            <w:noWrap/>
          </w:tcPr>
          <w:p w14:paraId="1D2E9A48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54F49" w:rsidRPr="00D96148" w14:paraId="5F3D9C7B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  <w:vAlign w:val="center"/>
          </w:tcPr>
          <w:p w14:paraId="26A6E9F9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Insperity</w:t>
            </w:r>
          </w:p>
        </w:tc>
        <w:tc>
          <w:tcPr>
            <w:tcW w:w="1608" w:type="dxa"/>
            <w:noWrap/>
            <w:vAlign w:val="center"/>
          </w:tcPr>
          <w:p w14:paraId="6C6AC3C1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NSP</w:t>
            </w:r>
          </w:p>
        </w:tc>
        <w:tc>
          <w:tcPr>
            <w:tcW w:w="1470" w:type="dxa"/>
            <w:noWrap/>
            <w:vAlign w:val="center"/>
          </w:tcPr>
          <w:p w14:paraId="56E4BC32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604" w:type="dxa"/>
            <w:noWrap/>
          </w:tcPr>
          <w:p w14:paraId="2014B863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SELL</w:t>
            </w:r>
          </w:p>
        </w:tc>
        <w:tc>
          <w:tcPr>
            <w:tcW w:w="1543" w:type="dxa"/>
            <w:noWrap/>
          </w:tcPr>
          <w:p w14:paraId="55F268DC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90EB" w14:textId="0225C05B" w:rsidR="00554F49" w:rsidRPr="00D96148" w:rsidRDefault="005308E3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6EC5" w14:textId="078CC9A6" w:rsidR="00554F49" w:rsidRPr="00D96148" w:rsidRDefault="005308E3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1.6</w:t>
            </w:r>
          </w:p>
        </w:tc>
        <w:tc>
          <w:tcPr>
            <w:tcW w:w="1693" w:type="dxa"/>
            <w:noWrap/>
          </w:tcPr>
          <w:p w14:paraId="42AF6EE2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54F49" w:rsidRPr="00D96148" w14:paraId="45DD90DC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</w:tcPr>
          <w:p w14:paraId="59A9065B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608" w:type="dxa"/>
            <w:noWrap/>
          </w:tcPr>
          <w:p w14:paraId="4465AB92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470" w:type="dxa"/>
            <w:noWrap/>
          </w:tcPr>
          <w:p w14:paraId="0B73EA11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604" w:type="dxa"/>
            <w:noWrap/>
          </w:tcPr>
          <w:p w14:paraId="78E74279" w14:textId="77777777" w:rsidR="00554F49" w:rsidRDefault="00554F49" w:rsidP="00554F49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  <w:noWrap/>
          </w:tcPr>
          <w:p w14:paraId="5AEE13EA" w14:textId="77777777" w:rsidR="00554F49" w:rsidRDefault="00554F49" w:rsidP="00554F49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F0DD" w14:textId="431B038A" w:rsidR="00554F49" w:rsidRPr="00D96148" w:rsidRDefault="005308E3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DF6" w14:textId="6D8CE68A" w:rsidR="00554F49" w:rsidRPr="00D96148" w:rsidRDefault="005308E3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5.4</w:t>
            </w:r>
          </w:p>
        </w:tc>
        <w:tc>
          <w:tcPr>
            <w:tcW w:w="1693" w:type="dxa"/>
            <w:noWrap/>
          </w:tcPr>
          <w:p w14:paraId="481AC3FD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54F49" w:rsidRPr="00D96148" w14:paraId="581F75AC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</w:tcPr>
          <w:p w14:paraId="600B1A7E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608" w:type="dxa"/>
            <w:noWrap/>
          </w:tcPr>
          <w:p w14:paraId="2504340F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470" w:type="dxa"/>
            <w:noWrap/>
          </w:tcPr>
          <w:p w14:paraId="2D4DE696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604" w:type="dxa"/>
            <w:shd w:val="clear" w:color="auto" w:fill="auto"/>
            <w:noWrap/>
          </w:tcPr>
          <w:p w14:paraId="2093D8BE" w14:textId="77777777" w:rsidR="00554F49" w:rsidRDefault="00554F49" w:rsidP="00554F49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  <w:shd w:val="clear" w:color="auto" w:fill="auto"/>
            <w:noWrap/>
          </w:tcPr>
          <w:p w14:paraId="62EEB91A" w14:textId="77777777" w:rsidR="00554F49" w:rsidRDefault="00554F49" w:rsidP="00554F49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109B" w14:textId="1500D5F6" w:rsidR="00554F49" w:rsidRPr="00D96148" w:rsidRDefault="005308E3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F54E" w14:textId="01B1B566" w:rsidR="00554F49" w:rsidRPr="00D96148" w:rsidRDefault="005308E3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1.8</w:t>
            </w:r>
          </w:p>
        </w:tc>
        <w:tc>
          <w:tcPr>
            <w:tcW w:w="1693" w:type="dxa"/>
            <w:noWrap/>
          </w:tcPr>
          <w:p w14:paraId="55D499DC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554F49" w:rsidRPr="00D96148" w14:paraId="2F35EB3D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  <w:hideMark/>
          </w:tcPr>
          <w:p w14:paraId="49F21EC7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608" w:type="dxa"/>
            <w:noWrap/>
            <w:hideMark/>
          </w:tcPr>
          <w:p w14:paraId="68938338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470" w:type="dxa"/>
            <w:noWrap/>
            <w:hideMark/>
          </w:tcPr>
          <w:p w14:paraId="7E1DEDC1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604" w:type="dxa"/>
            <w:noWrap/>
          </w:tcPr>
          <w:p w14:paraId="5D371353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  <w:noWrap/>
          </w:tcPr>
          <w:p w14:paraId="24ED4E11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9FC4" w14:textId="76413FCC" w:rsidR="00554F49" w:rsidRPr="00D96148" w:rsidRDefault="004A24BA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07E2" w14:textId="4BCC30A0" w:rsidR="00554F49" w:rsidRPr="00D96148" w:rsidRDefault="004A24BA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1693" w:type="dxa"/>
            <w:noWrap/>
          </w:tcPr>
          <w:p w14:paraId="26192F3D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54F49" w:rsidRPr="00D96148" w14:paraId="3E7AB27A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  <w:hideMark/>
          </w:tcPr>
          <w:p w14:paraId="428E3FDA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608" w:type="dxa"/>
            <w:noWrap/>
            <w:hideMark/>
          </w:tcPr>
          <w:p w14:paraId="66346CFA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470" w:type="dxa"/>
            <w:noWrap/>
            <w:hideMark/>
          </w:tcPr>
          <w:p w14:paraId="0445AA69" w14:textId="77777777" w:rsidR="00554F49" w:rsidRPr="00D96148" w:rsidRDefault="00554F49" w:rsidP="00554F49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604" w:type="dxa"/>
            <w:shd w:val="clear" w:color="auto" w:fill="auto"/>
            <w:noWrap/>
          </w:tcPr>
          <w:p w14:paraId="7FA72DB8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4B91F928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638D" w14:textId="037217B7" w:rsidR="00554F49" w:rsidRPr="00D96148" w:rsidRDefault="004A24BA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E0E8" w14:textId="7D699B2B" w:rsidR="00554F49" w:rsidRPr="00D96148" w:rsidRDefault="004A24BA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4.0</w:t>
            </w:r>
          </w:p>
        </w:tc>
        <w:tc>
          <w:tcPr>
            <w:tcW w:w="1693" w:type="dxa"/>
            <w:noWrap/>
          </w:tcPr>
          <w:p w14:paraId="0C0BDF1A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554F49" w:rsidRPr="00D96148" w14:paraId="4906484A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</w:tcPr>
          <w:p w14:paraId="041DB77C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608" w:type="dxa"/>
            <w:noWrap/>
          </w:tcPr>
          <w:p w14:paraId="0314B644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470" w:type="dxa"/>
            <w:noWrap/>
          </w:tcPr>
          <w:p w14:paraId="4CA0F43E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1604" w:type="dxa"/>
          </w:tcPr>
          <w:p w14:paraId="55C6C870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</w:tcPr>
          <w:p w14:paraId="46046055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6915" w14:textId="1A61932E" w:rsidR="00554F49" w:rsidRPr="00D96148" w:rsidRDefault="004A24BA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1A0E" w14:textId="497E0CB9" w:rsidR="00554F49" w:rsidRPr="00D96148" w:rsidRDefault="004A24BA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8.9</w:t>
            </w:r>
          </w:p>
        </w:tc>
        <w:tc>
          <w:tcPr>
            <w:tcW w:w="1693" w:type="dxa"/>
            <w:noWrap/>
          </w:tcPr>
          <w:p w14:paraId="0F80533F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554F49" w:rsidRPr="00D96148" w14:paraId="4C7E7977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</w:tcPr>
          <w:p w14:paraId="111025C3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608" w:type="dxa"/>
            <w:noWrap/>
          </w:tcPr>
          <w:p w14:paraId="33856C61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470" w:type="dxa"/>
            <w:noWrap/>
          </w:tcPr>
          <w:p w14:paraId="209B841B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604" w:type="dxa"/>
          </w:tcPr>
          <w:p w14:paraId="0927C280" w14:textId="77777777" w:rsidR="00554F49" w:rsidRDefault="00554F49" w:rsidP="00554F49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</w:tcPr>
          <w:p w14:paraId="555D4EF0" w14:textId="77777777" w:rsidR="00554F49" w:rsidRDefault="00554F49" w:rsidP="00554F49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2DFE" w14:textId="369983B6" w:rsidR="00554F49" w:rsidRPr="00D96148" w:rsidRDefault="004A24BA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35D30" w14:textId="1455F281" w:rsidR="00554F49" w:rsidRPr="00D96148" w:rsidRDefault="004A24BA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4.9</w:t>
            </w:r>
          </w:p>
        </w:tc>
        <w:tc>
          <w:tcPr>
            <w:tcW w:w="1693" w:type="dxa"/>
            <w:noWrap/>
          </w:tcPr>
          <w:p w14:paraId="3A0AD447" w14:textId="77777777" w:rsidR="00554F49" w:rsidRPr="005F72D0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554F49" w:rsidRPr="00D96148" w14:paraId="3FE68813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</w:tcPr>
          <w:p w14:paraId="2B06A39F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608" w:type="dxa"/>
            <w:noWrap/>
          </w:tcPr>
          <w:p w14:paraId="38BFD8FD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470" w:type="dxa"/>
            <w:noWrap/>
          </w:tcPr>
          <w:p w14:paraId="32F42DAA" w14:textId="77777777" w:rsidR="00554F49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604" w:type="dxa"/>
            <w:shd w:val="clear" w:color="auto" w:fill="auto"/>
          </w:tcPr>
          <w:p w14:paraId="5C889EBC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  <w:shd w:val="clear" w:color="auto" w:fill="auto"/>
          </w:tcPr>
          <w:p w14:paraId="003E732F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803A" w14:textId="31E37054" w:rsidR="00554F49" w:rsidRDefault="004A24BA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52D13" w14:textId="264772A7" w:rsidR="00554F49" w:rsidRPr="00D96148" w:rsidRDefault="004A24BA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93" w:type="dxa"/>
            <w:noWrap/>
          </w:tcPr>
          <w:p w14:paraId="16BF31CF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554F49" w:rsidRPr="00D96148" w14:paraId="41B4E15D" w14:textId="77777777" w:rsidTr="00554F49">
        <w:tblPrEx>
          <w:jc w:val="left"/>
        </w:tblPrEx>
        <w:trPr>
          <w:trHeight w:val="261"/>
        </w:trPr>
        <w:tc>
          <w:tcPr>
            <w:tcW w:w="1803" w:type="dxa"/>
            <w:noWrap/>
          </w:tcPr>
          <w:p w14:paraId="09FF0B62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608" w:type="dxa"/>
            <w:noWrap/>
          </w:tcPr>
          <w:p w14:paraId="18647736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470" w:type="dxa"/>
            <w:noWrap/>
          </w:tcPr>
          <w:p w14:paraId="613E0677" w14:textId="77777777" w:rsidR="00554F49" w:rsidRPr="00D96148" w:rsidRDefault="00554F49" w:rsidP="00554F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604" w:type="dxa"/>
            <w:shd w:val="clear" w:color="auto" w:fill="auto"/>
          </w:tcPr>
          <w:p w14:paraId="238AF7BF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1543" w:type="dxa"/>
            <w:shd w:val="clear" w:color="auto" w:fill="auto"/>
          </w:tcPr>
          <w:p w14:paraId="254F1F2C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AB15" w14:textId="7256CF8B" w:rsidR="00554F49" w:rsidRPr="00D96148" w:rsidRDefault="004A24BA" w:rsidP="00554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F2523" w14:textId="4B8D3BFC" w:rsidR="00554F49" w:rsidRPr="00D96148" w:rsidRDefault="004A24BA" w:rsidP="00554F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2.5</w:t>
            </w:r>
          </w:p>
        </w:tc>
        <w:tc>
          <w:tcPr>
            <w:tcW w:w="1693" w:type="dxa"/>
            <w:noWrap/>
          </w:tcPr>
          <w:p w14:paraId="169087C2" w14:textId="77777777" w:rsidR="00554F49" w:rsidRPr="00D96148" w:rsidRDefault="00554F49" w:rsidP="00554F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33675FD" w14:textId="77777777" w:rsidR="00134963" w:rsidRDefault="00134963">
      <w:r>
        <w:br w:type="page"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E8110F" w:rsidRPr="00D96148" w14:paraId="5D588CC5" w14:textId="77777777" w:rsidTr="0015798E">
        <w:trPr>
          <w:trHeight w:val="170"/>
        </w:trPr>
        <w:tc>
          <w:tcPr>
            <w:tcW w:w="10890" w:type="dxa"/>
            <w:gridSpan w:val="5"/>
            <w:noWrap/>
          </w:tcPr>
          <w:p w14:paraId="6B595681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lastRenderedPageBreak/>
              <w:t>Pounce/Watch List</w:t>
            </w:r>
          </w:p>
        </w:tc>
      </w:tr>
      <w:tr w:rsidR="00E8110F" w:rsidRPr="002C5C3A" w14:paraId="1A636AD7" w14:textId="77777777" w:rsidTr="0015798E">
        <w:tc>
          <w:tcPr>
            <w:tcW w:w="2330" w:type="dxa"/>
          </w:tcPr>
          <w:p w14:paraId="291D4FCA" w14:textId="77777777" w:rsidR="00E8110F" w:rsidRPr="002C5C3A" w:rsidRDefault="00E8110F" w:rsidP="00E8110F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14:paraId="648AB346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14:paraId="380C7BCB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14:paraId="51F5DBC8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14:paraId="5FFD7AF8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E8110F" w:rsidRPr="002C5C3A" w14:paraId="322107C1" w14:textId="77777777" w:rsidTr="003B2105">
        <w:tc>
          <w:tcPr>
            <w:tcW w:w="2330" w:type="dxa"/>
          </w:tcPr>
          <w:p w14:paraId="73067F69" w14:textId="77777777"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14:paraId="5B52E005" w14:textId="77777777"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56909D8" w14:textId="77777777"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14:paraId="79AB57C4" w14:textId="77777777"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14:paraId="3D52F22A" w14:textId="77777777"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8110F" w:rsidRPr="002C5C3A" w14:paraId="1360226D" w14:textId="77777777" w:rsidTr="003B2105">
        <w:tc>
          <w:tcPr>
            <w:tcW w:w="2330" w:type="dxa"/>
          </w:tcPr>
          <w:p w14:paraId="3833506E" w14:textId="77777777"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14:paraId="23A15338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F025B37" w14:textId="77777777"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14:paraId="18723EF3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14:paraId="71E5AE64" w14:textId="77777777"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A1558E2" w14:textId="77777777"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14:paraId="4FFFB329" w14:textId="351A48E4"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May 2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 xml:space="preserve">May </w:t>
      </w:r>
      <w:r w:rsidR="0039697A">
        <w:rPr>
          <w:rFonts w:eastAsia="Times New Roman" w:cs="Times New Roman"/>
          <w:b/>
          <w:color w:val="auto"/>
          <w:sz w:val="18"/>
          <w:szCs w:val="18"/>
        </w:rPr>
        <w:t>16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14:paraId="1F891CAA" w14:textId="401B3E6B" w:rsidR="003B2105" w:rsidRDefault="00FF167E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 xml:space="preserve">Stock Study: Education: </w:t>
      </w:r>
      <w:r w:rsidR="0039697A">
        <w:rPr>
          <w:rFonts w:eastAsia="Times New Roman" w:cs="Times New Roman"/>
          <w:b/>
          <w:color w:val="auto"/>
          <w:sz w:val="18"/>
          <w:szCs w:val="18"/>
        </w:rPr>
        <w:t>will be changed from below</w:t>
      </w:r>
    </w:p>
    <w:p w14:paraId="6A1D6765" w14:textId="7036524E" w:rsidR="00C93628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N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14:paraId="6F006674" w14:textId="7D677489" w:rsidR="0039697A" w:rsidRDefault="0039697A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14:paraId="04EEAA7A" w14:textId="2A66ABA5" w:rsidR="0039697A" w:rsidRDefault="0039697A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Rich called meeting to close at 11:59</w:t>
      </w:r>
    </w:p>
    <w:p w14:paraId="3FD38F6A" w14:textId="3231B15F" w:rsidR="00290EA9" w:rsidRDefault="00290EA9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14:paraId="376E5783" w14:textId="34CC1773" w:rsidR="00290EA9" w:rsidRDefault="00290EA9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Report submitted by Cheryl Hargett</w:t>
      </w:r>
    </w:p>
    <w:p w14:paraId="05146C08" w14:textId="77777777"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14:paraId="7B811651" w14:textId="77777777"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14:paraId="22421019" w14:textId="77777777" w:rsid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t>Note: The Stock Study and Education schedule is in the process of revision</w:t>
      </w:r>
    </w:p>
    <w:p w14:paraId="5B704D7F" w14:textId="77777777" w:rsidR="008844A0" w:rsidRDefault="00E227D0" w:rsidP="003C5130">
      <w:pPr>
        <w:rPr>
          <w:rFonts w:eastAsia="Times New Roman" w:cs="Times New Roman"/>
          <w:b/>
          <w:color w:val="auto"/>
          <w:sz w:val="18"/>
          <w:szCs w:val="18"/>
        </w:rPr>
      </w:pPr>
      <w:r w:rsidRPr="00E227D0">
        <w:rPr>
          <w:noProof/>
        </w:rPr>
        <w:drawing>
          <wp:inline distT="0" distB="0" distL="0" distR="0" wp14:anchorId="3ADFE230" wp14:editId="39F529A0">
            <wp:extent cx="7223760" cy="81522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1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E6BC" w14:textId="77777777" w:rsidR="00F75FC3" w:rsidRPr="003351AE" w:rsidRDefault="00F75FC3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F75FC3" w:rsidRPr="003351AE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25264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4A96"/>
    <w:rsid w:val="00054C66"/>
    <w:rsid w:val="000554BE"/>
    <w:rsid w:val="00055B19"/>
    <w:rsid w:val="000562B4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2FB3"/>
    <w:rsid w:val="000A6176"/>
    <w:rsid w:val="000A6182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1E4"/>
    <w:rsid w:val="000C6606"/>
    <w:rsid w:val="000D5A78"/>
    <w:rsid w:val="000D7455"/>
    <w:rsid w:val="000E0773"/>
    <w:rsid w:val="000E245A"/>
    <w:rsid w:val="000E27C3"/>
    <w:rsid w:val="000E528D"/>
    <w:rsid w:val="000E5B80"/>
    <w:rsid w:val="000E67EE"/>
    <w:rsid w:val="000E7B5A"/>
    <w:rsid w:val="000F29E8"/>
    <w:rsid w:val="000F4008"/>
    <w:rsid w:val="000F5345"/>
    <w:rsid w:val="001007E1"/>
    <w:rsid w:val="0010101B"/>
    <w:rsid w:val="00102ED7"/>
    <w:rsid w:val="00104014"/>
    <w:rsid w:val="00105EA4"/>
    <w:rsid w:val="00107228"/>
    <w:rsid w:val="00111B0B"/>
    <w:rsid w:val="00112853"/>
    <w:rsid w:val="00112FA4"/>
    <w:rsid w:val="001156F3"/>
    <w:rsid w:val="00116762"/>
    <w:rsid w:val="001253F1"/>
    <w:rsid w:val="001314E2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5131"/>
    <w:rsid w:val="001869D6"/>
    <w:rsid w:val="00193CBD"/>
    <w:rsid w:val="001971CC"/>
    <w:rsid w:val="001975A1"/>
    <w:rsid w:val="001A1848"/>
    <w:rsid w:val="001A4F6B"/>
    <w:rsid w:val="001A5255"/>
    <w:rsid w:val="001A64D8"/>
    <w:rsid w:val="001B25CD"/>
    <w:rsid w:val="001B3A3B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5734"/>
    <w:rsid w:val="001C6810"/>
    <w:rsid w:val="001D0800"/>
    <w:rsid w:val="001D0DB5"/>
    <w:rsid w:val="001D168A"/>
    <w:rsid w:val="001D1886"/>
    <w:rsid w:val="001D452D"/>
    <w:rsid w:val="001D7239"/>
    <w:rsid w:val="001D72D0"/>
    <w:rsid w:val="001D779F"/>
    <w:rsid w:val="001E29E7"/>
    <w:rsid w:val="001E2A03"/>
    <w:rsid w:val="001E42FE"/>
    <w:rsid w:val="001E5E9B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073D3"/>
    <w:rsid w:val="00210269"/>
    <w:rsid w:val="0021104D"/>
    <w:rsid w:val="002112CE"/>
    <w:rsid w:val="002127A4"/>
    <w:rsid w:val="0021420B"/>
    <w:rsid w:val="00214A73"/>
    <w:rsid w:val="00215A39"/>
    <w:rsid w:val="002174D9"/>
    <w:rsid w:val="00221308"/>
    <w:rsid w:val="002237DE"/>
    <w:rsid w:val="00225432"/>
    <w:rsid w:val="00233797"/>
    <w:rsid w:val="002351A2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353C"/>
    <w:rsid w:val="0025453F"/>
    <w:rsid w:val="00255851"/>
    <w:rsid w:val="00260EB7"/>
    <w:rsid w:val="00266649"/>
    <w:rsid w:val="002667F0"/>
    <w:rsid w:val="00267280"/>
    <w:rsid w:val="002675C8"/>
    <w:rsid w:val="00271765"/>
    <w:rsid w:val="00272927"/>
    <w:rsid w:val="0027424F"/>
    <w:rsid w:val="00277EE0"/>
    <w:rsid w:val="002803BB"/>
    <w:rsid w:val="00280AD6"/>
    <w:rsid w:val="002822EF"/>
    <w:rsid w:val="00283265"/>
    <w:rsid w:val="00283AD1"/>
    <w:rsid w:val="00287735"/>
    <w:rsid w:val="00290EA9"/>
    <w:rsid w:val="00291369"/>
    <w:rsid w:val="00296A5F"/>
    <w:rsid w:val="002A219B"/>
    <w:rsid w:val="002A253D"/>
    <w:rsid w:val="002A4E19"/>
    <w:rsid w:val="002A4EFB"/>
    <w:rsid w:val="002A6287"/>
    <w:rsid w:val="002A6305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00EB"/>
    <w:rsid w:val="002E07F8"/>
    <w:rsid w:val="002E2EE7"/>
    <w:rsid w:val="002E606E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3F2"/>
    <w:rsid w:val="0037368A"/>
    <w:rsid w:val="003746B7"/>
    <w:rsid w:val="00377FDA"/>
    <w:rsid w:val="00381C19"/>
    <w:rsid w:val="0038562F"/>
    <w:rsid w:val="00387D74"/>
    <w:rsid w:val="00390139"/>
    <w:rsid w:val="00390FAB"/>
    <w:rsid w:val="003920B0"/>
    <w:rsid w:val="00393B9A"/>
    <w:rsid w:val="00395C8E"/>
    <w:rsid w:val="0039697A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D0D"/>
    <w:rsid w:val="003B5A11"/>
    <w:rsid w:val="003B604E"/>
    <w:rsid w:val="003B7EE6"/>
    <w:rsid w:val="003C5130"/>
    <w:rsid w:val="003C5F62"/>
    <w:rsid w:val="003C6326"/>
    <w:rsid w:val="003C6F61"/>
    <w:rsid w:val="003D14BB"/>
    <w:rsid w:val="003D1990"/>
    <w:rsid w:val="003D2D75"/>
    <w:rsid w:val="003D64B1"/>
    <w:rsid w:val="003E0BFB"/>
    <w:rsid w:val="003E2251"/>
    <w:rsid w:val="003E669B"/>
    <w:rsid w:val="003F360C"/>
    <w:rsid w:val="003F3FDA"/>
    <w:rsid w:val="003F46BD"/>
    <w:rsid w:val="003F4B13"/>
    <w:rsid w:val="003F5C5F"/>
    <w:rsid w:val="003F74D4"/>
    <w:rsid w:val="00406011"/>
    <w:rsid w:val="00406E38"/>
    <w:rsid w:val="004107B3"/>
    <w:rsid w:val="00411667"/>
    <w:rsid w:val="00411D17"/>
    <w:rsid w:val="00414FA5"/>
    <w:rsid w:val="00415B71"/>
    <w:rsid w:val="00416044"/>
    <w:rsid w:val="004207E4"/>
    <w:rsid w:val="00426773"/>
    <w:rsid w:val="004275F7"/>
    <w:rsid w:val="004366D9"/>
    <w:rsid w:val="004375EC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0590"/>
    <w:rsid w:val="00471B24"/>
    <w:rsid w:val="004742E1"/>
    <w:rsid w:val="00474B28"/>
    <w:rsid w:val="004775C1"/>
    <w:rsid w:val="004805A8"/>
    <w:rsid w:val="0048064B"/>
    <w:rsid w:val="0048085F"/>
    <w:rsid w:val="0048142F"/>
    <w:rsid w:val="00484F3C"/>
    <w:rsid w:val="00485769"/>
    <w:rsid w:val="00485EE5"/>
    <w:rsid w:val="0049060C"/>
    <w:rsid w:val="00495219"/>
    <w:rsid w:val="00496FC0"/>
    <w:rsid w:val="004A24BA"/>
    <w:rsid w:val="004A2B6B"/>
    <w:rsid w:val="004A2FD5"/>
    <w:rsid w:val="004A4CB2"/>
    <w:rsid w:val="004A50A9"/>
    <w:rsid w:val="004A64CC"/>
    <w:rsid w:val="004B143F"/>
    <w:rsid w:val="004B3468"/>
    <w:rsid w:val="004B7321"/>
    <w:rsid w:val="004B78C8"/>
    <w:rsid w:val="004C1ADF"/>
    <w:rsid w:val="004C3E93"/>
    <w:rsid w:val="004C40E8"/>
    <w:rsid w:val="004C4AF3"/>
    <w:rsid w:val="004C542A"/>
    <w:rsid w:val="004C60AA"/>
    <w:rsid w:val="004C6ABC"/>
    <w:rsid w:val="004D0D41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725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45DA"/>
    <w:rsid w:val="00507061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08E3"/>
    <w:rsid w:val="00531810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45C8"/>
    <w:rsid w:val="00554F49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8014E"/>
    <w:rsid w:val="0058344E"/>
    <w:rsid w:val="00583AD1"/>
    <w:rsid w:val="00584DFD"/>
    <w:rsid w:val="00585F16"/>
    <w:rsid w:val="00586CD1"/>
    <w:rsid w:val="00590805"/>
    <w:rsid w:val="00593094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1D1B"/>
    <w:rsid w:val="005E40DF"/>
    <w:rsid w:val="005E43F3"/>
    <w:rsid w:val="005F099A"/>
    <w:rsid w:val="005F1F00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2957"/>
    <w:rsid w:val="00622B76"/>
    <w:rsid w:val="0062328A"/>
    <w:rsid w:val="006260A5"/>
    <w:rsid w:val="006324BC"/>
    <w:rsid w:val="006337C5"/>
    <w:rsid w:val="00636683"/>
    <w:rsid w:val="00636E02"/>
    <w:rsid w:val="0064317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702DF"/>
    <w:rsid w:val="00670F3B"/>
    <w:rsid w:val="00673692"/>
    <w:rsid w:val="00675E60"/>
    <w:rsid w:val="00677176"/>
    <w:rsid w:val="00677879"/>
    <w:rsid w:val="00677A23"/>
    <w:rsid w:val="00680A75"/>
    <w:rsid w:val="006817F4"/>
    <w:rsid w:val="00681866"/>
    <w:rsid w:val="00682C36"/>
    <w:rsid w:val="0068330F"/>
    <w:rsid w:val="006842F7"/>
    <w:rsid w:val="0068539D"/>
    <w:rsid w:val="006875CD"/>
    <w:rsid w:val="006910F1"/>
    <w:rsid w:val="00692925"/>
    <w:rsid w:val="0069572C"/>
    <w:rsid w:val="006978C3"/>
    <w:rsid w:val="006A2B7E"/>
    <w:rsid w:val="006A3938"/>
    <w:rsid w:val="006A488F"/>
    <w:rsid w:val="006A5E1F"/>
    <w:rsid w:val="006B240E"/>
    <w:rsid w:val="006B482E"/>
    <w:rsid w:val="006B5613"/>
    <w:rsid w:val="006C0404"/>
    <w:rsid w:val="006C0709"/>
    <w:rsid w:val="006C26DC"/>
    <w:rsid w:val="006C6455"/>
    <w:rsid w:val="006C6FFD"/>
    <w:rsid w:val="006C7FCC"/>
    <w:rsid w:val="006D2A0A"/>
    <w:rsid w:val="006D4A27"/>
    <w:rsid w:val="006D4D00"/>
    <w:rsid w:val="006D5630"/>
    <w:rsid w:val="006D6279"/>
    <w:rsid w:val="006D762C"/>
    <w:rsid w:val="006E239C"/>
    <w:rsid w:val="006E31C4"/>
    <w:rsid w:val="006F2AD1"/>
    <w:rsid w:val="006F3B9C"/>
    <w:rsid w:val="006F4E18"/>
    <w:rsid w:val="006F6384"/>
    <w:rsid w:val="006F7F36"/>
    <w:rsid w:val="0070266D"/>
    <w:rsid w:val="00702BE3"/>
    <w:rsid w:val="007031A8"/>
    <w:rsid w:val="00703967"/>
    <w:rsid w:val="00704617"/>
    <w:rsid w:val="00704845"/>
    <w:rsid w:val="007071D4"/>
    <w:rsid w:val="00710BE2"/>
    <w:rsid w:val="007137F5"/>
    <w:rsid w:val="007149B0"/>
    <w:rsid w:val="00714D20"/>
    <w:rsid w:val="007163C3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40BDD"/>
    <w:rsid w:val="00741A2A"/>
    <w:rsid w:val="007427A5"/>
    <w:rsid w:val="007435D0"/>
    <w:rsid w:val="00743C31"/>
    <w:rsid w:val="00744721"/>
    <w:rsid w:val="00744B69"/>
    <w:rsid w:val="00754D97"/>
    <w:rsid w:val="00756942"/>
    <w:rsid w:val="00756F2B"/>
    <w:rsid w:val="007604E8"/>
    <w:rsid w:val="007609D4"/>
    <w:rsid w:val="0076109E"/>
    <w:rsid w:val="007617EF"/>
    <w:rsid w:val="00762AB2"/>
    <w:rsid w:val="00763DD7"/>
    <w:rsid w:val="00771A73"/>
    <w:rsid w:val="00772B86"/>
    <w:rsid w:val="007749CA"/>
    <w:rsid w:val="007776F6"/>
    <w:rsid w:val="007779B9"/>
    <w:rsid w:val="00785DC3"/>
    <w:rsid w:val="00786065"/>
    <w:rsid w:val="00791B9D"/>
    <w:rsid w:val="00792491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066D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F3CC5"/>
    <w:rsid w:val="007F3D1A"/>
    <w:rsid w:val="007F421F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C4"/>
    <w:rsid w:val="008343E1"/>
    <w:rsid w:val="008346FF"/>
    <w:rsid w:val="00837649"/>
    <w:rsid w:val="00843EF0"/>
    <w:rsid w:val="00844EFC"/>
    <w:rsid w:val="008453A1"/>
    <w:rsid w:val="008456C8"/>
    <w:rsid w:val="00846A6D"/>
    <w:rsid w:val="00846AB3"/>
    <w:rsid w:val="0085157E"/>
    <w:rsid w:val="00852779"/>
    <w:rsid w:val="008540C6"/>
    <w:rsid w:val="0085646F"/>
    <w:rsid w:val="00860176"/>
    <w:rsid w:val="00860FE9"/>
    <w:rsid w:val="00861F4F"/>
    <w:rsid w:val="008635CC"/>
    <w:rsid w:val="00865481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2992"/>
    <w:rsid w:val="008F38CF"/>
    <w:rsid w:val="008F4BA4"/>
    <w:rsid w:val="008F6827"/>
    <w:rsid w:val="008F72A7"/>
    <w:rsid w:val="008F78F9"/>
    <w:rsid w:val="00902F58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DA6"/>
    <w:rsid w:val="00936EDA"/>
    <w:rsid w:val="00940BB8"/>
    <w:rsid w:val="00941606"/>
    <w:rsid w:val="009418B6"/>
    <w:rsid w:val="009425FD"/>
    <w:rsid w:val="00943320"/>
    <w:rsid w:val="00943F8D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314F"/>
    <w:rsid w:val="009649CF"/>
    <w:rsid w:val="009667E3"/>
    <w:rsid w:val="0097375A"/>
    <w:rsid w:val="009746D8"/>
    <w:rsid w:val="0097476B"/>
    <w:rsid w:val="00975360"/>
    <w:rsid w:val="009800FD"/>
    <w:rsid w:val="00980DE5"/>
    <w:rsid w:val="00981BC6"/>
    <w:rsid w:val="009827C3"/>
    <w:rsid w:val="00982D73"/>
    <w:rsid w:val="00982FD0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5EA8"/>
    <w:rsid w:val="009963D2"/>
    <w:rsid w:val="009A0FC9"/>
    <w:rsid w:val="009A151E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12EF9"/>
    <w:rsid w:val="00A20004"/>
    <w:rsid w:val="00A23A06"/>
    <w:rsid w:val="00A25872"/>
    <w:rsid w:val="00A33AAE"/>
    <w:rsid w:val="00A3428A"/>
    <w:rsid w:val="00A36816"/>
    <w:rsid w:val="00A3774E"/>
    <w:rsid w:val="00A40EAB"/>
    <w:rsid w:val="00A41629"/>
    <w:rsid w:val="00A427C9"/>
    <w:rsid w:val="00A42C10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76805"/>
    <w:rsid w:val="00A8092B"/>
    <w:rsid w:val="00A82FE2"/>
    <w:rsid w:val="00A83657"/>
    <w:rsid w:val="00A84157"/>
    <w:rsid w:val="00A858D0"/>
    <w:rsid w:val="00A86DB3"/>
    <w:rsid w:val="00A9132D"/>
    <w:rsid w:val="00A91ADD"/>
    <w:rsid w:val="00A91B29"/>
    <w:rsid w:val="00A93840"/>
    <w:rsid w:val="00A97C1B"/>
    <w:rsid w:val="00AA047D"/>
    <w:rsid w:val="00AA04BE"/>
    <w:rsid w:val="00AA18DB"/>
    <w:rsid w:val="00AB04F2"/>
    <w:rsid w:val="00AB237B"/>
    <w:rsid w:val="00AB2575"/>
    <w:rsid w:val="00AB35FB"/>
    <w:rsid w:val="00AB3A26"/>
    <w:rsid w:val="00AB3EA7"/>
    <w:rsid w:val="00AB6372"/>
    <w:rsid w:val="00AC1AA8"/>
    <w:rsid w:val="00AC2A6B"/>
    <w:rsid w:val="00AC2F60"/>
    <w:rsid w:val="00AC3714"/>
    <w:rsid w:val="00AC5ABF"/>
    <w:rsid w:val="00AC7340"/>
    <w:rsid w:val="00AC7AAC"/>
    <w:rsid w:val="00AD28DA"/>
    <w:rsid w:val="00AD454D"/>
    <w:rsid w:val="00AE1758"/>
    <w:rsid w:val="00AE56EF"/>
    <w:rsid w:val="00AE5DD7"/>
    <w:rsid w:val="00AE691E"/>
    <w:rsid w:val="00AE7AA9"/>
    <w:rsid w:val="00AE7FBF"/>
    <w:rsid w:val="00AF437D"/>
    <w:rsid w:val="00AF7FF1"/>
    <w:rsid w:val="00B0031A"/>
    <w:rsid w:val="00B02D62"/>
    <w:rsid w:val="00B03113"/>
    <w:rsid w:val="00B03A17"/>
    <w:rsid w:val="00B062DE"/>
    <w:rsid w:val="00B077C4"/>
    <w:rsid w:val="00B10CC0"/>
    <w:rsid w:val="00B11DE6"/>
    <w:rsid w:val="00B142B5"/>
    <w:rsid w:val="00B16482"/>
    <w:rsid w:val="00B165B6"/>
    <w:rsid w:val="00B200EC"/>
    <w:rsid w:val="00B20E5F"/>
    <w:rsid w:val="00B21410"/>
    <w:rsid w:val="00B22F4C"/>
    <w:rsid w:val="00B23F1F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3CED"/>
    <w:rsid w:val="00BA4160"/>
    <w:rsid w:val="00BA7456"/>
    <w:rsid w:val="00BB0065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0305"/>
    <w:rsid w:val="00BE0854"/>
    <w:rsid w:val="00BE1CC3"/>
    <w:rsid w:val="00BE42CB"/>
    <w:rsid w:val="00BE5C66"/>
    <w:rsid w:val="00BE7460"/>
    <w:rsid w:val="00BF019F"/>
    <w:rsid w:val="00BF08ED"/>
    <w:rsid w:val="00BF1A21"/>
    <w:rsid w:val="00BF2EED"/>
    <w:rsid w:val="00BF4DB9"/>
    <w:rsid w:val="00BF5489"/>
    <w:rsid w:val="00BF6A8E"/>
    <w:rsid w:val="00C01437"/>
    <w:rsid w:val="00C05F51"/>
    <w:rsid w:val="00C119C8"/>
    <w:rsid w:val="00C13ACC"/>
    <w:rsid w:val="00C23F33"/>
    <w:rsid w:val="00C2449A"/>
    <w:rsid w:val="00C2773A"/>
    <w:rsid w:val="00C279AE"/>
    <w:rsid w:val="00C34649"/>
    <w:rsid w:val="00C42337"/>
    <w:rsid w:val="00C42D07"/>
    <w:rsid w:val="00C451E6"/>
    <w:rsid w:val="00C47618"/>
    <w:rsid w:val="00C51774"/>
    <w:rsid w:val="00C52DBC"/>
    <w:rsid w:val="00C53375"/>
    <w:rsid w:val="00C54470"/>
    <w:rsid w:val="00C5507C"/>
    <w:rsid w:val="00C56E0C"/>
    <w:rsid w:val="00C60B99"/>
    <w:rsid w:val="00C62E10"/>
    <w:rsid w:val="00C63277"/>
    <w:rsid w:val="00C67D07"/>
    <w:rsid w:val="00C71F28"/>
    <w:rsid w:val="00C722FB"/>
    <w:rsid w:val="00C72475"/>
    <w:rsid w:val="00C739D4"/>
    <w:rsid w:val="00C73E5E"/>
    <w:rsid w:val="00C74489"/>
    <w:rsid w:val="00C754C2"/>
    <w:rsid w:val="00C767C5"/>
    <w:rsid w:val="00C779A9"/>
    <w:rsid w:val="00C80E2D"/>
    <w:rsid w:val="00C816CF"/>
    <w:rsid w:val="00C84BF1"/>
    <w:rsid w:val="00C930B0"/>
    <w:rsid w:val="00C93628"/>
    <w:rsid w:val="00C94C9D"/>
    <w:rsid w:val="00C9556A"/>
    <w:rsid w:val="00C95DF7"/>
    <w:rsid w:val="00C976D9"/>
    <w:rsid w:val="00CA0056"/>
    <w:rsid w:val="00CA1673"/>
    <w:rsid w:val="00CA4973"/>
    <w:rsid w:val="00CA7195"/>
    <w:rsid w:val="00CB2F1D"/>
    <w:rsid w:val="00CB3FD1"/>
    <w:rsid w:val="00CB7DA7"/>
    <w:rsid w:val="00CC0781"/>
    <w:rsid w:val="00CC080E"/>
    <w:rsid w:val="00CC1E20"/>
    <w:rsid w:val="00CC2DA6"/>
    <w:rsid w:val="00CD063D"/>
    <w:rsid w:val="00CD1E49"/>
    <w:rsid w:val="00CD3C49"/>
    <w:rsid w:val="00CD5073"/>
    <w:rsid w:val="00CD5D3A"/>
    <w:rsid w:val="00CD7E81"/>
    <w:rsid w:val="00CE506F"/>
    <w:rsid w:val="00CE5726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3F0D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5418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0855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E5B"/>
    <w:rsid w:val="00DD51BC"/>
    <w:rsid w:val="00DE2268"/>
    <w:rsid w:val="00DE4160"/>
    <w:rsid w:val="00DE5021"/>
    <w:rsid w:val="00DE513F"/>
    <w:rsid w:val="00DE7CDB"/>
    <w:rsid w:val="00DF3399"/>
    <w:rsid w:val="00DF424C"/>
    <w:rsid w:val="00DF59ED"/>
    <w:rsid w:val="00DF6229"/>
    <w:rsid w:val="00E01370"/>
    <w:rsid w:val="00E02827"/>
    <w:rsid w:val="00E03C41"/>
    <w:rsid w:val="00E069E1"/>
    <w:rsid w:val="00E107CA"/>
    <w:rsid w:val="00E1128D"/>
    <w:rsid w:val="00E13A5B"/>
    <w:rsid w:val="00E13EC1"/>
    <w:rsid w:val="00E1478B"/>
    <w:rsid w:val="00E1733E"/>
    <w:rsid w:val="00E21655"/>
    <w:rsid w:val="00E226F3"/>
    <w:rsid w:val="00E227D0"/>
    <w:rsid w:val="00E22A82"/>
    <w:rsid w:val="00E23E1B"/>
    <w:rsid w:val="00E24914"/>
    <w:rsid w:val="00E2621D"/>
    <w:rsid w:val="00E263A9"/>
    <w:rsid w:val="00E2659A"/>
    <w:rsid w:val="00E27056"/>
    <w:rsid w:val="00E34789"/>
    <w:rsid w:val="00E35534"/>
    <w:rsid w:val="00E368D1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A1505"/>
    <w:rsid w:val="00EA1BB3"/>
    <w:rsid w:val="00EA5993"/>
    <w:rsid w:val="00EA6DC5"/>
    <w:rsid w:val="00EA6EEA"/>
    <w:rsid w:val="00EB04BE"/>
    <w:rsid w:val="00EB08EA"/>
    <w:rsid w:val="00EB647F"/>
    <w:rsid w:val="00EB74A9"/>
    <w:rsid w:val="00EC31E0"/>
    <w:rsid w:val="00EC6971"/>
    <w:rsid w:val="00ED27FE"/>
    <w:rsid w:val="00ED40AC"/>
    <w:rsid w:val="00ED58ED"/>
    <w:rsid w:val="00ED7EA4"/>
    <w:rsid w:val="00EE0735"/>
    <w:rsid w:val="00EE5A24"/>
    <w:rsid w:val="00EE6B21"/>
    <w:rsid w:val="00EE72C6"/>
    <w:rsid w:val="00EE7934"/>
    <w:rsid w:val="00EF21C3"/>
    <w:rsid w:val="00EF2EB4"/>
    <w:rsid w:val="00EF4E30"/>
    <w:rsid w:val="00EF754F"/>
    <w:rsid w:val="00F01CE6"/>
    <w:rsid w:val="00F01E13"/>
    <w:rsid w:val="00F023E5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6B16"/>
    <w:rsid w:val="00F21B67"/>
    <w:rsid w:val="00F23450"/>
    <w:rsid w:val="00F23FB6"/>
    <w:rsid w:val="00F247D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0F76"/>
    <w:rsid w:val="00F72090"/>
    <w:rsid w:val="00F72B21"/>
    <w:rsid w:val="00F73BEE"/>
    <w:rsid w:val="00F744C5"/>
    <w:rsid w:val="00F74FE4"/>
    <w:rsid w:val="00F75FC3"/>
    <w:rsid w:val="00F81CC8"/>
    <w:rsid w:val="00F86CF9"/>
    <w:rsid w:val="00F8758E"/>
    <w:rsid w:val="00F91244"/>
    <w:rsid w:val="00F913AB"/>
    <w:rsid w:val="00F956DA"/>
    <w:rsid w:val="00F972CA"/>
    <w:rsid w:val="00F97485"/>
    <w:rsid w:val="00F97FAD"/>
    <w:rsid w:val="00FA0156"/>
    <w:rsid w:val="00FA6ADA"/>
    <w:rsid w:val="00FA7249"/>
    <w:rsid w:val="00FB4799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3A48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dene.alden@gmail.com</cp:lastModifiedBy>
  <cp:revision>2</cp:revision>
  <cp:lastPrinted>2020-02-15T10:06:00Z</cp:lastPrinted>
  <dcterms:created xsi:type="dcterms:W3CDTF">2020-04-24T15:44:00Z</dcterms:created>
  <dcterms:modified xsi:type="dcterms:W3CDTF">2020-04-24T15:44:00Z</dcterms:modified>
</cp:coreProperties>
</file>