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A9360" w14:textId="77777777" w:rsidR="006D7806" w:rsidRPr="007D5F85" w:rsidRDefault="00AF0964">
      <w:pPr>
        <w:widowControl w:val="0"/>
        <w:spacing w:after="0" w:line="240" w:lineRule="auto"/>
        <w:jc w:val="center"/>
        <w:rPr>
          <w:rFonts w:ascii="Times New Roman" w:hAnsi="Times New Roman"/>
          <w:lang w:val="en"/>
        </w:rPr>
      </w:pPr>
      <w:r w:rsidRPr="007D5F85">
        <w:rPr>
          <w:rFonts w:ascii="Times New Roman" w:hAnsi="Times New Roman"/>
          <w:lang w:val="en"/>
        </w:rPr>
        <w:t>Cincinnati Model Investment Club Minutes</w:t>
      </w:r>
    </w:p>
    <w:p w14:paraId="37F54183" w14:textId="146AC5B7" w:rsidR="0094291E" w:rsidRPr="007D5F85" w:rsidRDefault="0094291E" w:rsidP="0094291E">
      <w:pPr>
        <w:pStyle w:val="Heading1"/>
        <w:spacing w:after="0" w:line="240" w:lineRule="auto"/>
        <w:ind w:left="461"/>
        <w:rPr>
          <w:b w:val="0"/>
          <w:color w:val="auto"/>
          <w:sz w:val="22"/>
        </w:rPr>
      </w:pPr>
      <w:r w:rsidRPr="007D5F85">
        <w:rPr>
          <w:b w:val="0"/>
          <w:sz w:val="22"/>
        </w:rPr>
        <w:t xml:space="preserve">Sat. </w:t>
      </w:r>
      <w:r w:rsidR="00D34A43">
        <w:rPr>
          <w:b w:val="0"/>
          <w:sz w:val="22"/>
        </w:rPr>
        <w:t xml:space="preserve">January </w:t>
      </w:r>
      <w:r w:rsidR="00626A4C" w:rsidRPr="007D5F85">
        <w:rPr>
          <w:b w:val="0"/>
          <w:sz w:val="22"/>
        </w:rPr>
        <w:t>1</w:t>
      </w:r>
      <w:r w:rsidR="00D34A43">
        <w:rPr>
          <w:b w:val="0"/>
          <w:sz w:val="22"/>
        </w:rPr>
        <w:t>6</w:t>
      </w:r>
      <w:r w:rsidRPr="007D5F85">
        <w:rPr>
          <w:b w:val="0"/>
          <w:sz w:val="22"/>
        </w:rPr>
        <w:t>, 20</w:t>
      </w:r>
      <w:r w:rsidR="00CE572F" w:rsidRPr="007D5F85">
        <w:rPr>
          <w:b w:val="0"/>
          <w:sz w:val="22"/>
        </w:rPr>
        <w:t>2</w:t>
      </w:r>
      <w:r w:rsidR="00D34A43">
        <w:rPr>
          <w:b w:val="0"/>
          <w:sz w:val="22"/>
        </w:rPr>
        <w:t>1</w:t>
      </w:r>
    </w:p>
    <w:p w14:paraId="5A501BBA" w14:textId="7F694393" w:rsidR="0094291E" w:rsidRPr="007D5F85" w:rsidRDefault="00CE572F" w:rsidP="0094291E">
      <w:pPr>
        <w:spacing w:after="0" w:line="240" w:lineRule="auto"/>
        <w:jc w:val="center"/>
        <w:rPr>
          <w:rFonts w:ascii="Times New Roman" w:hAnsi="Times New Roman"/>
        </w:rPr>
      </w:pPr>
      <w:r w:rsidRPr="007D5F85">
        <w:rPr>
          <w:rFonts w:ascii="Times New Roman" w:eastAsia="Times New Roman" w:hAnsi="Times New Roman"/>
        </w:rPr>
        <w:t>Online</w:t>
      </w:r>
      <w:r w:rsidR="00326F3D" w:rsidRPr="007D5F85">
        <w:rPr>
          <w:rFonts w:ascii="Times New Roman" w:eastAsia="Times New Roman" w:hAnsi="Times New Roman"/>
        </w:rPr>
        <w:t xml:space="preserve"> Only</w:t>
      </w:r>
    </w:p>
    <w:p w14:paraId="4E44942C" w14:textId="77777777" w:rsidR="0094291E" w:rsidRPr="007D5F85" w:rsidRDefault="0094291E" w:rsidP="002E22AE">
      <w:pPr>
        <w:spacing w:after="0"/>
        <w:ind w:left="1440" w:hanging="720"/>
        <w:jc w:val="center"/>
        <w:rPr>
          <w:rFonts w:ascii="Times New Roman" w:eastAsia="Times New Roman" w:hAnsi="Times New Roman"/>
          <w:color w:val="0000FF"/>
          <w:u w:val="single"/>
        </w:rPr>
      </w:pPr>
    </w:p>
    <w:p w14:paraId="1ACBED9A" w14:textId="77777777" w:rsidR="006D7806" w:rsidRPr="007D5F85" w:rsidRDefault="006D7806">
      <w:pPr>
        <w:widowControl w:val="0"/>
        <w:spacing w:after="0" w:line="240" w:lineRule="auto"/>
        <w:rPr>
          <w:rFonts w:ascii="Times New Roman" w:hAnsi="Times New Roman"/>
          <w:lang w:val="en"/>
        </w:rPr>
      </w:pPr>
    </w:p>
    <w:p w14:paraId="1C66EEBC" w14:textId="65824398" w:rsidR="006D7806" w:rsidRPr="007D5F85" w:rsidRDefault="00AF0964">
      <w:pPr>
        <w:widowControl w:val="0"/>
        <w:spacing w:after="0" w:line="240" w:lineRule="auto"/>
        <w:rPr>
          <w:rFonts w:ascii="Times New Roman" w:hAnsi="Times New Roman"/>
        </w:rPr>
      </w:pPr>
      <w:r w:rsidRPr="007D5F85">
        <w:rPr>
          <w:rFonts w:ascii="Times New Roman" w:hAnsi="Times New Roman"/>
          <w:u w:val="single"/>
          <w:lang w:val="en"/>
        </w:rPr>
        <w:t>Call to Order</w:t>
      </w:r>
      <w:r w:rsidRPr="007D5F85">
        <w:rPr>
          <w:rFonts w:ascii="Times New Roman" w:hAnsi="Times New Roman"/>
          <w:lang w:val="en"/>
        </w:rPr>
        <w:t>: Presiding Partner Richard Alden cal</w:t>
      </w:r>
      <w:r w:rsidR="00CA20E0" w:rsidRPr="007D5F85">
        <w:rPr>
          <w:rFonts w:ascii="Times New Roman" w:hAnsi="Times New Roman"/>
          <w:lang w:val="en"/>
        </w:rPr>
        <w:t xml:space="preserve">led the meeting to order at </w:t>
      </w:r>
      <w:proofErr w:type="gramStart"/>
      <w:r w:rsidR="00CA20E0" w:rsidRPr="007D5F85">
        <w:rPr>
          <w:rFonts w:ascii="Times New Roman" w:hAnsi="Times New Roman"/>
          <w:lang w:val="en"/>
        </w:rPr>
        <w:t>9</w:t>
      </w:r>
      <w:r w:rsidR="00CE572F" w:rsidRPr="007D5F85">
        <w:rPr>
          <w:rFonts w:ascii="Times New Roman" w:hAnsi="Times New Roman"/>
          <w:lang w:val="en"/>
        </w:rPr>
        <w:t>:</w:t>
      </w:r>
      <w:r w:rsidR="005C7D77" w:rsidRPr="007D5F85">
        <w:rPr>
          <w:rFonts w:ascii="Times New Roman" w:hAnsi="Times New Roman"/>
          <w:lang w:val="en"/>
        </w:rPr>
        <w:t>45</w:t>
      </w:r>
      <w:r w:rsidR="00626A4C" w:rsidRPr="007D5F85">
        <w:rPr>
          <w:rFonts w:ascii="Times New Roman" w:hAnsi="Times New Roman"/>
          <w:lang w:val="en"/>
        </w:rPr>
        <w:t xml:space="preserve">  </w:t>
      </w:r>
      <w:r w:rsidRPr="007D5F85">
        <w:rPr>
          <w:rFonts w:ascii="Times New Roman" w:hAnsi="Times New Roman"/>
          <w:lang w:val="en"/>
        </w:rPr>
        <w:t>a</w:t>
      </w:r>
      <w:r w:rsidR="00327015" w:rsidRPr="007D5F85">
        <w:rPr>
          <w:rFonts w:ascii="Times New Roman" w:hAnsi="Times New Roman"/>
          <w:lang w:val="en"/>
        </w:rPr>
        <w:t>m</w:t>
      </w:r>
      <w:r w:rsidRPr="007D5F85">
        <w:rPr>
          <w:rFonts w:ascii="Times New Roman" w:hAnsi="Times New Roman"/>
          <w:lang w:val="en"/>
        </w:rPr>
        <w:t>.</w:t>
      </w:r>
      <w:proofErr w:type="gramEnd"/>
      <w:r w:rsidRPr="007D5F85">
        <w:rPr>
          <w:rFonts w:ascii="Times New Roman" w:hAnsi="Times New Roman"/>
          <w:lang w:val="en"/>
        </w:rPr>
        <w:t xml:space="preserve"> Proxies were noted. </w:t>
      </w:r>
    </w:p>
    <w:p w14:paraId="33E16835" w14:textId="0D214B00" w:rsidR="006D7806" w:rsidRPr="007D5F85" w:rsidRDefault="00CE572F" w:rsidP="006870B2">
      <w:pPr>
        <w:pStyle w:val="NormalWeb"/>
        <w:spacing w:before="0" w:beforeAutospacing="0" w:after="0" w:afterAutospacing="0"/>
        <w:rPr>
          <w:rFonts w:ascii="Times New Roman" w:hAnsi="Times New Roman"/>
          <w:sz w:val="22"/>
          <w:szCs w:val="22"/>
        </w:rPr>
      </w:pPr>
      <w:r w:rsidRPr="007D5F85">
        <w:rPr>
          <w:rFonts w:ascii="Times New Roman" w:hAnsi="Times New Roman"/>
          <w:sz w:val="22"/>
          <w:szCs w:val="22"/>
          <w:lang w:val="en"/>
        </w:rPr>
        <w:t xml:space="preserve"> </w:t>
      </w:r>
    </w:p>
    <w:p w14:paraId="69677EC9" w14:textId="46EFC264" w:rsidR="006D7806" w:rsidRPr="007D5F85" w:rsidRDefault="00022D0E" w:rsidP="003D4C77">
      <w:pPr>
        <w:spacing w:after="0" w:line="240" w:lineRule="auto"/>
        <w:ind w:left="720" w:hanging="720"/>
        <w:rPr>
          <w:rFonts w:ascii="Times New Roman" w:hAnsi="Times New Roman"/>
          <w:lang w:val="en"/>
        </w:rPr>
      </w:pPr>
      <w:r w:rsidRPr="007D5F85">
        <w:rPr>
          <w:rFonts w:ascii="Times New Roman" w:hAnsi="Times New Roman"/>
          <w:lang w:val="en"/>
        </w:rPr>
        <w:t xml:space="preserve">Guests on Webinar:   </w:t>
      </w:r>
      <w:r w:rsidR="005C7D77" w:rsidRPr="007D5F85">
        <w:rPr>
          <w:rFonts w:ascii="Times New Roman" w:hAnsi="Times New Roman"/>
          <w:lang w:val="en"/>
        </w:rPr>
        <w:t xml:space="preserve">Belinda Wenzel, Carmen Carter, Cheryl Hargett, Curtis Battle, Linda Miller, Michael </w:t>
      </w:r>
      <w:proofErr w:type="spellStart"/>
      <w:r w:rsidR="005C7D77" w:rsidRPr="007D5F85">
        <w:rPr>
          <w:rFonts w:ascii="Times New Roman" w:hAnsi="Times New Roman"/>
          <w:lang w:val="en"/>
        </w:rPr>
        <w:t>Howcroft</w:t>
      </w:r>
      <w:proofErr w:type="spellEnd"/>
      <w:r w:rsidR="005C7D77" w:rsidRPr="007D5F85">
        <w:rPr>
          <w:rFonts w:ascii="Times New Roman" w:hAnsi="Times New Roman"/>
          <w:lang w:val="en"/>
        </w:rPr>
        <w:t xml:space="preserve">, Susan </w:t>
      </w:r>
      <w:proofErr w:type="spellStart"/>
      <w:r w:rsidR="005C7D77" w:rsidRPr="007D5F85">
        <w:rPr>
          <w:rFonts w:ascii="Times New Roman" w:hAnsi="Times New Roman"/>
          <w:lang w:val="en"/>
        </w:rPr>
        <w:t>Tanoe</w:t>
      </w:r>
      <w:proofErr w:type="spellEnd"/>
      <w:r w:rsidR="007F5F6F" w:rsidRPr="007D5F85">
        <w:rPr>
          <w:rFonts w:ascii="Times New Roman" w:hAnsi="Times New Roman"/>
          <w:lang w:val="en"/>
        </w:rPr>
        <w:t>, Linda Margolis, Paul Jayasselan</w:t>
      </w:r>
    </w:p>
    <w:p w14:paraId="388B1D99" w14:textId="77777777" w:rsidR="003D4C77" w:rsidRPr="007D5F85" w:rsidRDefault="003D4C77" w:rsidP="003D4C77">
      <w:pPr>
        <w:spacing w:after="0" w:line="240" w:lineRule="auto"/>
        <w:ind w:left="720" w:hanging="720"/>
        <w:rPr>
          <w:rFonts w:ascii="Times New Roman" w:hAnsi="Times New Roman"/>
        </w:rPr>
      </w:pPr>
    </w:p>
    <w:p w14:paraId="4277D470" w14:textId="77777777" w:rsidR="006D7806" w:rsidRPr="007D5F85" w:rsidRDefault="006D7806">
      <w:pPr>
        <w:widowControl w:val="0"/>
        <w:spacing w:after="0" w:line="240" w:lineRule="auto"/>
        <w:rPr>
          <w:rFonts w:ascii="Times New Roman" w:hAnsi="Times New Roman"/>
          <w:lang w:val="en"/>
        </w:rPr>
      </w:pPr>
    </w:p>
    <w:tbl>
      <w:tblPr>
        <w:tblW w:w="10255" w:type="dxa"/>
        <w:tblInd w:w="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2" w:type="dxa"/>
        </w:tblCellMar>
        <w:tblLook w:val="0000" w:firstRow="0" w:lastRow="0" w:firstColumn="0" w:lastColumn="0" w:noHBand="0" w:noVBand="0"/>
      </w:tblPr>
      <w:tblGrid>
        <w:gridCol w:w="3236"/>
        <w:gridCol w:w="990"/>
        <w:gridCol w:w="1170"/>
        <w:gridCol w:w="2788"/>
        <w:gridCol w:w="810"/>
        <w:gridCol w:w="1261"/>
      </w:tblGrid>
      <w:tr w:rsidR="006D7806" w:rsidRPr="007D5F85" w14:paraId="5D51030C"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A1DAA5A" w14:textId="77777777" w:rsidR="006D7806" w:rsidRPr="007D5F85" w:rsidRDefault="00AF0964">
            <w:pPr>
              <w:widowControl w:val="0"/>
              <w:spacing w:after="0" w:line="240" w:lineRule="auto"/>
              <w:rPr>
                <w:rFonts w:ascii="Times New Roman" w:hAnsi="Times New Roman"/>
                <w:lang w:val="en"/>
              </w:rPr>
            </w:pPr>
            <w:r w:rsidRPr="007D5F85">
              <w:rPr>
                <w:rFonts w:ascii="Times New Roman" w:hAnsi="Times New Roman"/>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1CF41F" w14:textId="761A4908" w:rsidR="006D7806" w:rsidRPr="007D5F85" w:rsidRDefault="00CE572F">
            <w:pPr>
              <w:widowControl w:val="0"/>
              <w:spacing w:after="0" w:line="240" w:lineRule="auto"/>
              <w:jc w:val="center"/>
              <w:rPr>
                <w:rFonts w:ascii="Times New Roman" w:hAnsi="Times New Roman"/>
                <w:lang w:val="en"/>
              </w:rPr>
            </w:pPr>
            <w:r w:rsidRPr="007D5F85">
              <w:rPr>
                <w:rFonts w:ascii="Times New Roman" w:hAnsi="Times New Roman"/>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CE104C" w14:textId="77777777" w:rsidR="006D7806" w:rsidRPr="007D5F85" w:rsidRDefault="00AF0964">
            <w:pPr>
              <w:widowControl w:val="0"/>
              <w:spacing w:after="0" w:line="240" w:lineRule="auto"/>
              <w:rPr>
                <w:rFonts w:ascii="Times New Roman" w:hAnsi="Times New Roman"/>
                <w:lang w:val="en"/>
              </w:rPr>
            </w:pPr>
            <w:r w:rsidRPr="007D5F85">
              <w:rPr>
                <w:rFonts w:ascii="Times New Roman" w:hAnsi="Times New Roman"/>
                <w:lang w:val="en"/>
              </w:rPr>
              <w:t>Proxy</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53EE93" w14:textId="77777777" w:rsidR="006D7806" w:rsidRPr="007D5F85" w:rsidRDefault="00AF0964">
            <w:pPr>
              <w:widowControl w:val="0"/>
              <w:spacing w:after="0" w:line="240" w:lineRule="auto"/>
              <w:rPr>
                <w:rFonts w:ascii="Times New Roman" w:hAnsi="Times New Roman"/>
                <w:lang w:val="en"/>
              </w:rPr>
            </w:pPr>
            <w:r w:rsidRPr="007D5F85">
              <w:rPr>
                <w:rFonts w:ascii="Times New Roman" w:hAnsi="Times New Roman"/>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EF47BBB" w14:textId="6568EF05" w:rsidR="006D7806" w:rsidRPr="007D5F85" w:rsidRDefault="00E87ADE">
            <w:pPr>
              <w:widowControl w:val="0"/>
              <w:spacing w:after="0" w:line="240" w:lineRule="auto"/>
              <w:jc w:val="center"/>
              <w:rPr>
                <w:rFonts w:ascii="Times New Roman" w:hAnsi="Times New Roman"/>
                <w:lang w:val="en"/>
              </w:rPr>
            </w:pPr>
            <w:r w:rsidRPr="007D5F85">
              <w:rPr>
                <w:rFonts w:ascii="Times New Roman" w:hAnsi="Times New Roman"/>
                <w:lang w:val="en"/>
              </w:rP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43B985D" w14:textId="77777777" w:rsidR="006D7806" w:rsidRPr="007D5F85" w:rsidRDefault="00AF0964">
            <w:pPr>
              <w:widowControl w:val="0"/>
              <w:spacing w:after="0" w:line="240" w:lineRule="auto"/>
              <w:rPr>
                <w:rFonts w:ascii="Times New Roman" w:hAnsi="Times New Roman"/>
                <w:lang w:val="en"/>
              </w:rPr>
            </w:pPr>
            <w:r w:rsidRPr="007D5F85">
              <w:rPr>
                <w:rFonts w:ascii="Times New Roman" w:hAnsi="Times New Roman"/>
                <w:lang w:val="en"/>
              </w:rPr>
              <w:t>Proxy</w:t>
            </w:r>
          </w:p>
        </w:tc>
      </w:tr>
      <w:tr w:rsidR="006D7806" w:rsidRPr="007D5F85" w14:paraId="068BD547" w14:textId="77777777" w:rsidTr="00BA088B">
        <w:trPr>
          <w:trHeight w:val="25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EEC658" w14:textId="77777777" w:rsidR="006D7806" w:rsidRPr="007D5F85" w:rsidRDefault="00AF0964">
            <w:pPr>
              <w:widowControl w:val="0"/>
              <w:spacing w:after="0" w:line="240" w:lineRule="auto"/>
              <w:rPr>
                <w:rFonts w:ascii="Times New Roman" w:hAnsi="Times New Roman"/>
                <w:lang w:val="en"/>
              </w:rPr>
            </w:pPr>
            <w:r w:rsidRPr="007D5F85">
              <w:rPr>
                <w:rFonts w:ascii="Times New Roman" w:hAnsi="Times New Roman"/>
                <w:lang w:val="en"/>
              </w:rPr>
              <w:t>Jackie Koski</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E3BCF6B" w14:textId="515E87BE" w:rsidR="006D7806" w:rsidRPr="007D5F85" w:rsidRDefault="005C7D77" w:rsidP="0051627B">
            <w:pPr>
              <w:widowControl w:val="0"/>
              <w:spacing w:after="0" w:line="240" w:lineRule="auto"/>
              <w:ind w:left="720" w:hanging="720"/>
              <w:jc w:val="center"/>
              <w:rPr>
                <w:rFonts w:ascii="Times New Roman" w:hAnsi="Times New Roman"/>
              </w:rPr>
            </w:pPr>
            <w:r w:rsidRPr="007D5F85">
              <w:rPr>
                <w:rFonts w:ascii="Times New Roman" w:hAnsi="Times New Roma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913795" w14:textId="200220AD" w:rsidR="006D7806" w:rsidRPr="007D5F85" w:rsidRDefault="003D4C77">
            <w:pPr>
              <w:widowControl w:val="0"/>
              <w:spacing w:after="0" w:line="240" w:lineRule="auto"/>
              <w:jc w:val="center"/>
              <w:rPr>
                <w:rFonts w:ascii="Times New Roman" w:hAnsi="Times New Roman"/>
                <w:lang w:val="en"/>
              </w:rPr>
            </w:pPr>
            <w:r w:rsidRPr="007D5F85">
              <w:rPr>
                <w:rFonts w:ascii="Times New Roman" w:hAnsi="Times New Roman"/>
                <w:lang w:val="en"/>
              </w:rPr>
              <w:t xml:space="preserve"> </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0DFE68" w14:textId="77777777" w:rsidR="006D7806" w:rsidRPr="007D5F85" w:rsidRDefault="00AF0964">
            <w:pPr>
              <w:widowControl w:val="0"/>
              <w:spacing w:after="0" w:line="240" w:lineRule="auto"/>
              <w:rPr>
                <w:rFonts w:ascii="Times New Roman" w:hAnsi="Times New Roman"/>
                <w:lang w:val="en"/>
              </w:rPr>
            </w:pPr>
            <w:r w:rsidRPr="007D5F85">
              <w:rPr>
                <w:rFonts w:ascii="Times New Roman" w:hAnsi="Times New Roman"/>
                <w:lang w:val="en"/>
              </w:rPr>
              <w:t>Harrison Baumbaugh</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8E5CD39" w14:textId="050C254A" w:rsidR="006D7806" w:rsidRPr="007D5F85" w:rsidRDefault="005C7D77" w:rsidP="00C3519E">
            <w:pPr>
              <w:widowControl w:val="0"/>
              <w:spacing w:after="0" w:line="240" w:lineRule="auto"/>
              <w:jc w:val="center"/>
              <w:rPr>
                <w:rFonts w:ascii="Times New Roman" w:hAnsi="Times New Roman"/>
              </w:rPr>
            </w:pPr>
            <w:r w:rsidRPr="007D5F85">
              <w:rPr>
                <w:rFonts w:ascii="Times New Roman" w:hAnsi="Times New Roma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FEDDB3" w14:textId="77777777" w:rsidR="006D7806" w:rsidRPr="007D5F85" w:rsidRDefault="006D7806">
            <w:pPr>
              <w:widowControl w:val="0"/>
              <w:spacing w:after="0" w:line="240" w:lineRule="auto"/>
              <w:jc w:val="center"/>
              <w:rPr>
                <w:rFonts w:ascii="Times New Roman" w:hAnsi="Times New Roman"/>
                <w:lang w:val="en"/>
              </w:rPr>
            </w:pPr>
          </w:p>
        </w:tc>
      </w:tr>
      <w:tr w:rsidR="00E87ADE" w:rsidRPr="007D5F85" w14:paraId="0CC12839"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81AF94" w14:textId="6142ADCE"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Kate Lester, Recording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339A6BC" w14:textId="0C526E4F"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5BE4D05" w14:textId="09FCBD20" w:rsidR="00E87ADE" w:rsidRPr="007D5F85" w:rsidRDefault="00E87ADE" w:rsidP="00E87ADE">
            <w:pPr>
              <w:widowControl w:val="0"/>
              <w:spacing w:after="0" w:line="240" w:lineRule="auto"/>
              <w:jc w:val="center"/>
              <w:rPr>
                <w:rFonts w:ascii="Times New Roman" w:hAnsi="Times New Roman"/>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09D80AD" w14:textId="1C947B75"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Bill Meehan</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55E27BE" w14:textId="411228E2" w:rsidR="00E87ADE" w:rsidRPr="007D5F85" w:rsidRDefault="00E87ADE" w:rsidP="00E87ADE">
            <w:pPr>
              <w:widowControl w:val="0"/>
              <w:spacing w:after="0" w:line="240" w:lineRule="auto"/>
              <w:jc w:val="center"/>
              <w:rPr>
                <w:rFonts w:ascii="Times New Roman" w:hAnsi="Times New Roman"/>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8277506" w14:textId="2F10E7F9" w:rsidR="00E87ADE" w:rsidRPr="007D5F85" w:rsidRDefault="00424373" w:rsidP="00E87ADE">
            <w:pPr>
              <w:widowControl w:val="0"/>
              <w:spacing w:after="0" w:line="240" w:lineRule="auto"/>
              <w:jc w:val="center"/>
              <w:rPr>
                <w:rFonts w:ascii="Times New Roman" w:hAnsi="Times New Roman"/>
                <w:lang w:val="en"/>
              </w:rPr>
            </w:pPr>
            <w:r>
              <w:rPr>
                <w:rFonts w:ascii="Times New Roman" w:hAnsi="Times New Roman"/>
                <w:lang w:val="en"/>
              </w:rPr>
              <w:t>Marty</w:t>
            </w:r>
          </w:p>
        </w:tc>
      </w:tr>
      <w:tr w:rsidR="00E87ADE" w:rsidRPr="007D5F85" w14:paraId="4B16786B"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30B94B" w14:textId="77777777"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4160FE" w14:textId="17386F16"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032B596" w14:textId="7CF42B75" w:rsidR="00E87ADE" w:rsidRPr="007D5F85" w:rsidRDefault="00E87ADE" w:rsidP="00E87ADE">
            <w:pPr>
              <w:widowControl w:val="0"/>
              <w:spacing w:after="0" w:line="240" w:lineRule="auto"/>
              <w:rPr>
                <w:rFonts w:ascii="Times New Roman" w:hAnsi="Times New Roman"/>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46CEFA4" w14:textId="77777777"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Gregg Hopkins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2325099" w14:textId="62C074EC"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F4AFE9D" w14:textId="0330F15C" w:rsidR="00E87ADE" w:rsidRPr="007D5F85" w:rsidRDefault="00E87ADE" w:rsidP="00E87ADE">
            <w:pPr>
              <w:widowControl w:val="0"/>
              <w:spacing w:after="0" w:line="240" w:lineRule="auto"/>
              <w:rPr>
                <w:rFonts w:ascii="Times New Roman" w:hAnsi="Times New Roman"/>
                <w:lang w:val="en"/>
              </w:rPr>
            </w:pPr>
          </w:p>
        </w:tc>
      </w:tr>
      <w:tr w:rsidR="00E87ADE" w:rsidRPr="007D5F85" w14:paraId="06543189" w14:textId="77777777" w:rsidTr="00BA088B">
        <w:trPr>
          <w:trHeight w:val="170"/>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816813B" w14:textId="77777777"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687E89" w14:textId="3DFF45D9"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CB4043" w14:textId="77777777" w:rsidR="00E87ADE" w:rsidRPr="007D5F85" w:rsidRDefault="00E87ADE" w:rsidP="00E87ADE">
            <w:pPr>
              <w:widowControl w:val="0"/>
              <w:spacing w:after="0" w:line="240" w:lineRule="auto"/>
              <w:jc w:val="center"/>
              <w:rPr>
                <w:rFonts w:ascii="Times New Roman" w:hAnsi="Times New Roman"/>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96D12CC" w14:textId="77777777"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Nelson Page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876E862" w14:textId="102289BA"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BDF45C" w14:textId="56F3E9F5" w:rsidR="00E87ADE" w:rsidRPr="007D5F85" w:rsidRDefault="00E87ADE" w:rsidP="00E87ADE">
            <w:pPr>
              <w:widowControl w:val="0"/>
              <w:spacing w:after="0" w:line="240" w:lineRule="auto"/>
              <w:jc w:val="center"/>
              <w:rPr>
                <w:rFonts w:ascii="Times New Roman" w:hAnsi="Times New Roman"/>
                <w:lang w:val="en"/>
              </w:rPr>
            </w:pPr>
          </w:p>
        </w:tc>
      </w:tr>
      <w:tr w:rsidR="00E87ADE" w:rsidRPr="007D5F85" w14:paraId="23DC3918"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6FD0C84" w14:textId="77777777"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 xml:space="preserve">Gerry </w:t>
            </w:r>
            <w:proofErr w:type="spellStart"/>
            <w:r w:rsidRPr="007D5F85">
              <w:rPr>
                <w:rFonts w:ascii="Times New Roman" w:hAnsi="Times New Roman"/>
                <w:lang w:val="en"/>
              </w:rPr>
              <w:t>Geverdt</w:t>
            </w:r>
            <w:proofErr w:type="spellEnd"/>
            <w:r w:rsidRPr="007D5F85">
              <w:rPr>
                <w:rFonts w:ascii="Times New Roman" w:hAnsi="Times New Roman"/>
                <w:lang w:val="en"/>
              </w:rPr>
              <w:t xml:space="preserve"> </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D60331" w14:textId="328A62F5"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1451D1B" w14:textId="77777777" w:rsidR="00E87ADE" w:rsidRPr="007D5F85" w:rsidRDefault="00E87ADE" w:rsidP="00E87ADE">
            <w:pPr>
              <w:widowControl w:val="0"/>
              <w:spacing w:after="0" w:line="240" w:lineRule="auto"/>
              <w:jc w:val="center"/>
              <w:rPr>
                <w:rFonts w:ascii="Times New Roman" w:hAnsi="Times New Roman"/>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37A7864" w14:textId="38613EF5"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Eugene Barnett</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C69573E" w14:textId="7EB21026"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044A0DE" w14:textId="1059F4DE" w:rsidR="00E87ADE" w:rsidRPr="007D5F85" w:rsidRDefault="00E87ADE" w:rsidP="00E87ADE">
            <w:pPr>
              <w:widowControl w:val="0"/>
              <w:spacing w:after="0" w:line="240" w:lineRule="auto"/>
              <w:jc w:val="center"/>
              <w:rPr>
                <w:rFonts w:ascii="Times New Roman" w:hAnsi="Times New Roman"/>
              </w:rPr>
            </w:pPr>
          </w:p>
        </w:tc>
      </w:tr>
      <w:tr w:rsidR="00E87ADE" w:rsidRPr="007D5F85" w14:paraId="6966FDEF"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871C65" w14:textId="27518E21" w:rsidR="00E87ADE" w:rsidRPr="007D5F85" w:rsidRDefault="00E87ADE" w:rsidP="00E87ADE">
            <w:pPr>
              <w:widowControl w:val="0"/>
              <w:spacing w:after="0" w:line="240" w:lineRule="auto"/>
              <w:rPr>
                <w:rFonts w:ascii="Times New Roman" w:hAnsi="Times New Roman"/>
              </w:rPr>
            </w:pPr>
            <w:r w:rsidRPr="007D5F85">
              <w:rPr>
                <w:rFonts w:ascii="Times New Roman" w:hAnsi="Times New Roman"/>
                <w:lang w:val="en"/>
              </w:rPr>
              <w:t>Dene Alden, Financial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4591DE5" w14:textId="6B0A4BDF"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9DC8D72" w14:textId="634A41E1" w:rsidR="00E87ADE" w:rsidRPr="007D5F85" w:rsidRDefault="00E87ADE" w:rsidP="00E87ADE">
            <w:pPr>
              <w:widowControl w:val="0"/>
              <w:spacing w:after="0" w:line="240" w:lineRule="auto"/>
              <w:jc w:val="center"/>
              <w:rPr>
                <w:rFonts w:ascii="Times New Roman" w:hAnsi="Times New Roman"/>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D2B0B2E" w14:textId="77777777"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 xml:space="preserve">Michele Grinoch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758C977" w14:textId="7D1920C8"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35A77C" w14:textId="2CAD3DC1" w:rsidR="00E87ADE" w:rsidRPr="007D5F85" w:rsidRDefault="00E87ADE" w:rsidP="00E87ADE">
            <w:pPr>
              <w:widowControl w:val="0"/>
              <w:spacing w:after="0" w:line="240" w:lineRule="auto"/>
              <w:rPr>
                <w:rFonts w:ascii="Times New Roman" w:hAnsi="Times New Roman"/>
                <w:lang w:val="en"/>
              </w:rPr>
            </w:pPr>
          </w:p>
        </w:tc>
      </w:tr>
      <w:tr w:rsidR="00E87ADE" w:rsidRPr="007D5F85" w14:paraId="3F0E4595"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28BB60" w14:textId="77777777"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8A92DE3" w14:textId="4E71F68C" w:rsidR="00E87ADE" w:rsidRPr="007D5F85" w:rsidRDefault="005C7D77" w:rsidP="00E87ADE">
            <w:pPr>
              <w:widowControl w:val="0"/>
              <w:spacing w:after="0" w:line="240" w:lineRule="auto"/>
              <w:jc w:val="center"/>
              <w:rPr>
                <w:rFonts w:ascii="Times New Roman" w:hAnsi="Times New Roman"/>
              </w:rPr>
            </w:pPr>
            <w:r w:rsidRPr="007D5F85">
              <w:rPr>
                <w:rFonts w:ascii="Times New Roman" w:hAnsi="Times New Roma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D523968" w14:textId="77777777" w:rsidR="00E87ADE" w:rsidRPr="007D5F85" w:rsidRDefault="00E87ADE" w:rsidP="00E87ADE">
            <w:pPr>
              <w:widowControl w:val="0"/>
              <w:spacing w:after="0" w:line="240" w:lineRule="auto"/>
              <w:rPr>
                <w:rFonts w:ascii="Times New Roman" w:hAnsi="Times New Roman"/>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670F962" w14:textId="26F3BF38" w:rsidR="00E87ADE" w:rsidRPr="007D5F85" w:rsidRDefault="003D4C77" w:rsidP="00E87ADE">
            <w:pPr>
              <w:widowControl w:val="0"/>
              <w:spacing w:after="0" w:line="240" w:lineRule="auto"/>
              <w:rPr>
                <w:rFonts w:ascii="Times New Roman" w:hAnsi="Times New Roman"/>
                <w:lang w:val="en"/>
              </w:rPr>
            </w:pPr>
            <w:r w:rsidRPr="007D5F85">
              <w:rPr>
                <w:rFonts w:ascii="Times New Roman" w:hAnsi="Times New Roman"/>
                <w:lang w:val="en"/>
              </w:rPr>
              <w:t>Roger Stafford</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71C240D" w14:textId="180A6B3B" w:rsidR="00E87ADE" w:rsidRPr="007D5F85" w:rsidRDefault="005C7D77" w:rsidP="00E87ADE">
            <w:pPr>
              <w:widowControl w:val="0"/>
              <w:spacing w:after="0" w:line="240" w:lineRule="auto"/>
              <w:ind w:left="720" w:hanging="720"/>
              <w:jc w:val="center"/>
              <w:rPr>
                <w:rFonts w:ascii="Times New Roman" w:hAnsi="Times New Roman"/>
              </w:rPr>
            </w:pPr>
            <w:r w:rsidRPr="007D5F85">
              <w:rPr>
                <w:rFonts w:ascii="Times New Roman" w:hAnsi="Times New Roma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A005E0" w14:textId="77777777" w:rsidR="00E87ADE" w:rsidRPr="007D5F85" w:rsidRDefault="00E87ADE" w:rsidP="00E87ADE">
            <w:pPr>
              <w:widowControl w:val="0"/>
              <w:spacing w:after="0" w:line="240" w:lineRule="auto"/>
              <w:jc w:val="center"/>
              <w:rPr>
                <w:rFonts w:ascii="Times New Roman" w:hAnsi="Times New Roman"/>
                <w:lang w:val="en"/>
              </w:rPr>
            </w:pPr>
          </w:p>
        </w:tc>
      </w:tr>
      <w:tr w:rsidR="00E87ADE" w:rsidRPr="007D5F85" w14:paraId="7F49FEAC" w14:textId="77777777" w:rsidTr="00BA088B">
        <w:trPr>
          <w:trHeight w:val="305"/>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1902B7D" w14:textId="5C165841" w:rsidR="00E87ADE" w:rsidRPr="007D5F85" w:rsidRDefault="00E87ADE" w:rsidP="00E87ADE">
            <w:pPr>
              <w:widowControl w:val="0"/>
              <w:spacing w:after="0" w:line="240" w:lineRule="auto"/>
              <w:rPr>
                <w:rFonts w:ascii="Times New Roman" w:hAnsi="Times New Roman"/>
                <w:lang w:val="en"/>
              </w:rPr>
            </w:pP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2E12364" w14:textId="7312EC8D" w:rsidR="00E87ADE" w:rsidRPr="007D5F85" w:rsidRDefault="00E87ADE" w:rsidP="00E87ADE">
            <w:pPr>
              <w:widowControl w:val="0"/>
              <w:spacing w:after="0" w:line="240" w:lineRule="auto"/>
              <w:rPr>
                <w:rFonts w:ascii="Times New Roman" w:hAnsi="Times New Roman"/>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178A06" w14:textId="37CE2129" w:rsidR="00E87ADE" w:rsidRPr="007D5F85" w:rsidRDefault="00E87ADE" w:rsidP="00E87ADE">
            <w:pPr>
              <w:widowControl w:val="0"/>
              <w:spacing w:after="0" w:line="240" w:lineRule="auto"/>
              <w:jc w:val="center"/>
              <w:rPr>
                <w:rFonts w:ascii="Times New Roman" w:hAnsi="Times New Roman"/>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C16C1B9" w14:textId="29CAB483" w:rsidR="00E87ADE" w:rsidRPr="007D5F85" w:rsidRDefault="00E87ADE" w:rsidP="00E87ADE">
            <w:pPr>
              <w:widowControl w:val="0"/>
              <w:spacing w:after="0" w:line="240" w:lineRule="auto"/>
              <w:rPr>
                <w:rFonts w:ascii="Times New Roman" w:hAnsi="Times New Roman"/>
                <w:lang w:val="en"/>
              </w:rPr>
            </w:pPr>
            <w:r w:rsidRPr="007D5F85">
              <w:rPr>
                <w:rFonts w:ascii="Times New Roman" w:hAnsi="Times New Roman"/>
                <w:lang w:val="en"/>
              </w:rPr>
              <w:t xml:space="preserve">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12C33A" w14:textId="05F60D29" w:rsidR="00E87ADE" w:rsidRPr="007D5F85" w:rsidRDefault="00E87ADE" w:rsidP="00E87ADE">
            <w:pPr>
              <w:widowControl w:val="0"/>
              <w:spacing w:after="0" w:line="240" w:lineRule="auto"/>
              <w:jc w:val="center"/>
              <w:rPr>
                <w:rFonts w:ascii="Times New Roman" w:hAnsi="Times New Roman"/>
              </w:rPr>
            </w:pPr>
            <w:r w:rsidRPr="007D5F85">
              <w:rPr>
                <w:rFonts w:ascii="Times New Roman" w:hAnsi="Times New Roman"/>
              </w:rPr>
              <w:t xml:space="preserve"> </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AD883EE" w14:textId="7934D10E" w:rsidR="00E87ADE" w:rsidRPr="007D5F85" w:rsidRDefault="00E87ADE" w:rsidP="00E87ADE">
            <w:pPr>
              <w:widowControl w:val="0"/>
              <w:spacing w:after="0" w:line="240" w:lineRule="auto"/>
              <w:jc w:val="center"/>
              <w:rPr>
                <w:rFonts w:ascii="Times New Roman" w:hAnsi="Times New Roman"/>
                <w:lang w:val="en"/>
              </w:rPr>
            </w:pPr>
          </w:p>
        </w:tc>
      </w:tr>
    </w:tbl>
    <w:p w14:paraId="54BC1C0C" w14:textId="77777777" w:rsidR="006D7806" w:rsidRPr="007D5F85" w:rsidRDefault="00AF0964">
      <w:pPr>
        <w:widowControl w:val="0"/>
        <w:spacing w:after="0" w:line="240" w:lineRule="auto"/>
        <w:rPr>
          <w:rFonts w:ascii="Times New Roman" w:hAnsi="Times New Roman"/>
          <w:lang w:val="en"/>
        </w:rPr>
      </w:pPr>
      <w:r w:rsidRPr="007D5F85">
        <w:rPr>
          <w:rFonts w:ascii="Times New Roman" w:hAnsi="Times New Roman"/>
          <w:lang w:val="en"/>
        </w:rPr>
        <w:t>Note: Parentheses denote provisional presence or proxies should members not be present for the full meeting</w:t>
      </w:r>
    </w:p>
    <w:p w14:paraId="4F8CD319" w14:textId="77777777" w:rsidR="006D7806" w:rsidRPr="007D5F85" w:rsidRDefault="006D7806">
      <w:pPr>
        <w:widowControl w:val="0"/>
        <w:spacing w:after="0" w:line="240" w:lineRule="auto"/>
        <w:rPr>
          <w:rFonts w:ascii="Times New Roman" w:hAnsi="Times New Roman"/>
          <w:u w:val="single"/>
          <w:lang w:val="en"/>
        </w:rPr>
      </w:pPr>
    </w:p>
    <w:p w14:paraId="2DFA37A5" w14:textId="77777777" w:rsidR="002E22AE" w:rsidRPr="007D5F85" w:rsidRDefault="00AF0964" w:rsidP="00327015">
      <w:pPr>
        <w:widowControl w:val="0"/>
        <w:spacing w:after="0" w:line="240" w:lineRule="auto"/>
        <w:ind w:left="2160" w:hanging="2160"/>
        <w:rPr>
          <w:rFonts w:ascii="Times New Roman" w:eastAsia="Times New Roman" w:hAnsi="Times New Roman"/>
        </w:rPr>
      </w:pPr>
      <w:r w:rsidRPr="007D5F85">
        <w:rPr>
          <w:rFonts w:ascii="Times New Roman" w:hAnsi="Times New Roman"/>
          <w:u w:val="single"/>
          <w:lang w:val="en"/>
        </w:rPr>
        <w:t>Recording Partner’s Report</w:t>
      </w:r>
      <w:r w:rsidRPr="007D5F85">
        <w:rPr>
          <w:rFonts w:ascii="Times New Roman" w:hAnsi="Times New Roman"/>
          <w:lang w:val="en"/>
        </w:rPr>
        <w:t>:</w:t>
      </w:r>
      <w:r w:rsidR="002E22AE" w:rsidRPr="007D5F85">
        <w:rPr>
          <w:rFonts w:ascii="Times New Roman" w:eastAsia="Times New Roman" w:hAnsi="Times New Roman"/>
        </w:rPr>
        <w:t xml:space="preserve"> </w:t>
      </w:r>
    </w:p>
    <w:p w14:paraId="67A9417C" w14:textId="7EE15044" w:rsidR="00D13A59" w:rsidRPr="007D5F85" w:rsidRDefault="00D13A59" w:rsidP="00D46DA0">
      <w:pPr>
        <w:pStyle w:val="NoSpacing"/>
        <w:numPr>
          <w:ilvl w:val="0"/>
          <w:numId w:val="1"/>
        </w:numPr>
        <w:rPr>
          <w:rFonts w:eastAsia="Times New Roman" w:cs="Times New Roman"/>
          <w:color w:val="auto"/>
          <w:sz w:val="22"/>
        </w:rPr>
      </w:pPr>
      <w:r w:rsidRPr="007D5F85">
        <w:rPr>
          <w:rFonts w:eastAsia="Times New Roman" w:cs="Times New Roman"/>
          <w:color w:val="auto"/>
          <w:sz w:val="22"/>
        </w:rPr>
        <w:t xml:space="preserve">Minutes for December 12, 2020 meeting posted to </w:t>
      </w:r>
      <w:r w:rsidR="00674420">
        <w:rPr>
          <w:rFonts w:eastAsia="Times New Roman" w:cs="Times New Roman"/>
          <w:color w:val="auto"/>
          <w:sz w:val="22"/>
        </w:rPr>
        <w:t>Bi</w:t>
      </w:r>
      <w:r w:rsidRPr="007D5F85">
        <w:rPr>
          <w:rFonts w:eastAsia="Times New Roman" w:cs="Times New Roman"/>
          <w:color w:val="auto"/>
          <w:sz w:val="22"/>
        </w:rPr>
        <w:t>vio on Dec 14, 2020. Corrections or additions?</w:t>
      </w:r>
    </w:p>
    <w:p w14:paraId="3381CE8E" w14:textId="4629D8E0" w:rsidR="005C7D77" w:rsidRPr="007D5F85" w:rsidRDefault="005C7D77" w:rsidP="00D46DA0">
      <w:pPr>
        <w:pStyle w:val="NoSpacing"/>
        <w:numPr>
          <w:ilvl w:val="0"/>
          <w:numId w:val="1"/>
        </w:numPr>
        <w:rPr>
          <w:rFonts w:eastAsia="Times New Roman" w:cs="Times New Roman"/>
          <w:color w:val="auto"/>
          <w:sz w:val="22"/>
        </w:rPr>
      </w:pPr>
      <w:r w:rsidRPr="007D5F85">
        <w:rPr>
          <w:rFonts w:eastAsia="Times New Roman" w:cs="Times New Roman"/>
          <w:color w:val="auto"/>
          <w:sz w:val="22"/>
        </w:rPr>
        <w:t>Dene motioned to approve, Craig seconds</w:t>
      </w:r>
    </w:p>
    <w:p w14:paraId="6D84FFB0" w14:textId="77777777" w:rsidR="00606649" w:rsidRPr="007D5F85" w:rsidRDefault="00606649" w:rsidP="00606649">
      <w:pPr>
        <w:widowControl w:val="0"/>
        <w:spacing w:after="0" w:line="240" w:lineRule="auto"/>
        <w:rPr>
          <w:rFonts w:ascii="Times New Roman" w:hAnsi="Times New Roman"/>
          <w:lang w:val="en"/>
        </w:rPr>
      </w:pPr>
    </w:p>
    <w:p w14:paraId="33C1F108" w14:textId="56C3BD5C" w:rsidR="006D7806" w:rsidRPr="007D5F85" w:rsidRDefault="00AF0964">
      <w:pPr>
        <w:widowControl w:val="0"/>
        <w:spacing w:after="0" w:line="240" w:lineRule="auto"/>
        <w:rPr>
          <w:rFonts w:ascii="Times New Roman" w:hAnsi="Times New Roman"/>
          <w:lang w:val="en"/>
        </w:rPr>
      </w:pPr>
      <w:r w:rsidRPr="007D5F85">
        <w:rPr>
          <w:rFonts w:ascii="Times New Roman" w:hAnsi="Times New Roman"/>
          <w:u w:val="single"/>
          <w:lang w:val="en"/>
        </w:rPr>
        <w:t>Financial Partner’s Report</w:t>
      </w:r>
      <w:r w:rsidRPr="007D5F85">
        <w:rPr>
          <w:rFonts w:ascii="Times New Roman" w:hAnsi="Times New Roman"/>
          <w:lang w:val="en"/>
        </w:rPr>
        <w:t xml:space="preserve">: </w:t>
      </w:r>
    </w:p>
    <w:p w14:paraId="65F17DAD" w14:textId="77777777" w:rsidR="00D13A59" w:rsidRPr="007D5F85" w:rsidRDefault="00D13A59" w:rsidP="00D46DA0">
      <w:pPr>
        <w:pStyle w:val="NoSpacing"/>
        <w:numPr>
          <w:ilvl w:val="0"/>
          <w:numId w:val="2"/>
        </w:numPr>
        <w:rPr>
          <w:rFonts w:cs="Times New Roman"/>
          <w:color w:val="auto"/>
          <w:sz w:val="22"/>
        </w:rPr>
      </w:pPr>
      <w:r w:rsidRPr="007D5F85">
        <w:rPr>
          <w:rFonts w:cs="Times New Roman"/>
          <w:color w:val="auto"/>
          <w:sz w:val="22"/>
        </w:rPr>
        <w:t>Current financial report, current cash balance: $12,743.36 as of COB Jan 8, 2021</w:t>
      </w:r>
    </w:p>
    <w:p w14:paraId="2E4459F9" w14:textId="27B953CF" w:rsidR="003D4C77" w:rsidRPr="007D5F85" w:rsidRDefault="00D13A59" w:rsidP="00D46DA0">
      <w:pPr>
        <w:pStyle w:val="ListParagraph"/>
        <w:widowControl w:val="0"/>
        <w:numPr>
          <w:ilvl w:val="0"/>
          <w:numId w:val="2"/>
        </w:numPr>
        <w:spacing w:after="0" w:line="240" w:lineRule="auto"/>
        <w:rPr>
          <w:rFonts w:ascii="Times New Roman" w:hAnsi="Times New Roman"/>
          <w:lang w:val="en"/>
        </w:rPr>
      </w:pPr>
      <w:r w:rsidRPr="007D5F85">
        <w:rPr>
          <w:rFonts w:ascii="Times New Roman" w:hAnsi="Times New Roman"/>
        </w:rPr>
        <w:t>Jackie to withdraw $8,500 – see Dene’s report of Jan 8, 2021</w:t>
      </w:r>
    </w:p>
    <w:p w14:paraId="566252EA" w14:textId="77777777" w:rsidR="003D4C77" w:rsidRPr="007D5F85" w:rsidRDefault="003D4C77" w:rsidP="003D4C77">
      <w:pPr>
        <w:widowControl w:val="0"/>
        <w:spacing w:after="0" w:line="240" w:lineRule="auto"/>
        <w:rPr>
          <w:rFonts w:ascii="Times New Roman" w:hAnsi="Times New Roman"/>
          <w:lang w:val="en"/>
        </w:rPr>
      </w:pPr>
    </w:p>
    <w:p w14:paraId="429C16D4" w14:textId="77777777" w:rsidR="006D7806" w:rsidRPr="007D5F85" w:rsidRDefault="00AF0964">
      <w:pPr>
        <w:pStyle w:val="NoSpacing"/>
        <w:rPr>
          <w:rFonts w:cs="Times New Roman"/>
          <w:color w:val="00000A"/>
          <w:sz w:val="22"/>
          <w:lang w:val="en"/>
        </w:rPr>
      </w:pPr>
      <w:r w:rsidRPr="007D5F85">
        <w:rPr>
          <w:rFonts w:cs="Times New Roman"/>
          <w:color w:val="00000A"/>
          <w:sz w:val="22"/>
          <w:u w:val="single"/>
          <w:lang w:val="en"/>
        </w:rPr>
        <w:t>Announcements</w:t>
      </w:r>
      <w:r w:rsidRPr="007D5F85">
        <w:rPr>
          <w:rFonts w:cs="Times New Roman"/>
          <w:color w:val="00000A"/>
          <w:sz w:val="22"/>
          <w:lang w:val="en"/>
        </w:rPr>
        <w:t xml:space="preserve">: </w:t>
      </w:r>
    </w:p>
    <w:p w14:paraId="5EC827D1" w14:textId="21E406C9" w:rsidR="00D13A59" w:rsidRPr="007D5F85" w:rsidRDefault="00D13A59" w:rsidP="00D46DA0">
      <w:pPr>
        <w:pStyle w:val="NoSpacing"/>
        <w:numPr>
          <w:ilvl w:val="0"/>
          <w:numId w:val="3"/>
        </w:numPr>
        <w:rPr>
          <w:rFonts w:cs="Times New Roman"/>
          <w:color w:val="auto"/>
          <w:sz w:val="22"/>
        </w:rPr>
      </w:pPr>
      <w:r w:rsidRPr="007D5F85">
        <w:rPr>
          <w:rFonts w:cs="Times New Roman"/>
          <w:color w:val="auto"/>
          <w:sz w:val="22"/>
        </w:rPr>
        <w:t>Better Investing Weekly Newsletter – First Cuts, webinars, Learning Center, news and information</w:t>
      </w:r>
    </w:p>
    <w:p w14:paraId="3FAC76AF" w14:textId="3C3512CB" w:rsidR="00D13A59" w:rsidRPr="007D5F85" w:rsidRDefault="00D13A59" w:rsidP="00D46DA0">
      <w:pPr>
        <w:pStyle w:val="NoSpacing"/>
        <w:numPr>
          <w:ilvl w:val="0"/>
          <w:numId w:val="3"/>
        </w:numPr>
        <w:rPr>
          <w:rFonts w:cs="Times New Roman"/>
          <w:color w:val="auto"/>
          <w:sz w:val="22"/>
        </w:rPr>
      </w:pPr>
      <w:r w:rsidRPr="007D5F85">
        <w:rPr>
          <w:rFonts w:cs="Times New Roman"/>
          <w:color w:val="auto"/>
          <w:sz w:val="22"/>
        </w:rPr>
        <w:t xml:space="preserve">Classes and webinars: see </w:t>
      </w:r>
      <w:proofErr w:type="spellStart"/>
      <w:r w:rsidRPr="007D5F85">
        <w:rPr>
          <w:rFonts w:cs="Times New Roman"/>
          <w:color w:val="auto"/>
          <w:sz w:val="22"/>
        </w:rPr>
        <w:t>BetterInvesting</w:t>
      </w:r>
      <w:proofErr w:type="spellEnd"/>
      <w:r w:rsidRPr="007D5F85">
        <w:rPr>
          <w:rFonts w:cs="Times New Roman"/>
          <w:color w:val="auto"/>
          <w:sz w:val="22"/>
        </w:rPr>
        <w:t xml:space="preserve"> Magazine ONLINE section opposite CONTENTS. Other investing educational sessions: Register on the BI web site for “Ticker Talk” and Stock-Up”. </w:t>
      </w:r>
    </w:p>
    <w:p w14:paraId="5651F7C8" w14:textId="5B1EC4B8" w:rsidR="00D13A59" w:rsidRPr="007D5F85" w:rsidRDefault="00D13A59" w:rsidP="00D46DA0">
      <w:pPr>
        <w:pStyle w:val="NoSpacing"/>
        <w:numPr>
          <w:ilvl w:val="0"/>
          <w:numId w:val="3"/>
        </w:numPr>
        <w:rPr>
          <w:rFonts w:cs="Times New Roman"/>
          <w:sz w:val="22"/>
        </w:rPr>
      </w:pPr>
      <w:r w:rsidRPr="007D5F85">
        <w:rPr>
          <w:rFonts w:cs="Times New Roman"/>
          <w:color w:val="auto"/>
          <w:sz w:val="22"/>
        </w:rPr>
        <w:t xml:space="preserve">“The Roundtable” and “Bull Sessions” occurs each month sponsored by BI Mid-Michigan Chapter. Register with both by contacting: </w:t>
      </w:r>
      <w:hyperlink r:id="rId8" w:history="1">
        <w:r w:rsidRPr="007D5F85">
          <w:rPr>
            <w:rStyle w:val="Hyperlink"/>
            <w:rFonts w:cs="Times New Roman"/>
            <w:sz w:val="22"/>
          </w:rPr>
          <w:t>nkavula1@comcast.net</w:t>
        </w:r>
      </w:hyperlink>
      <w:r w:rsidRPr="007D5F85">
        <w:rPr>
          <w:rFonts w:cs="Times New Roman"/>
          <w:sz w:val="22"/>
        </w:rPr>
        <w:t xml:space="preserve"> </w:t>
      </w:r>
    </w:p>
    <w:p w14:paraId="219B9630" w14:textId="466DB1EB" w:rsidR="00D13A59" w:rsidRPr="007D5F85" w:rsidRDefault="00D13A59" w:rsidP="00D46DA0">
      <w:pPr>
        <w:pStyle w:val="NoSpacing"/>
        <w:numPr>
          <w:ilvl w:val="0"/>
          <w:numId w:val="3"/>
        </w:numPr>
        <w:rPr>
          <w:rFonts w:cs="Times New Roman"/>
          <w:sz w:val="22"/>
        </w:rPr>
      </w:pPr>
      <w:r w:rsidRPr="007D5F85">
        <w:rPr>
          <w:rFonts w:cs="Times New Roman"/>
          <w:sz w:val="22"/>
        </w:rPr>
        <w:t>BINC is moving from May to October 21-24, still in Dallas</w:t>
      </w:r>
    </w:p>
    <w:p w14:paraId="46A79532" w14:textId="250D19E5" w:rsidR="006B7168" w:rsidRPr="007D5F85" w:rsidRDefault="00D13A59" w:rsidP="00D46DA0">
      <w:pPr>
        <w:pStyle w:val="NoSpacing"/>
        <w:numPr>
          <w:ilvl w:val="0"/>
          <w:numId w:val="3"/>
        </w:numPr>
        <w:rPr>
          <w:rFonts w:cs="Times New Roman"/>
          <w:sz w:val="22"/>
        </w:rPr>
      </w:pPr>
      <w:r w:rsidRPr="007D5F85">
        <w:rPr>
          <w:rFonts w:cs="Times New Roman"/>
          <w:sz w:val="22"/>
        </w:rPr>
        <w:t>Webinar on Feb 15, 7:30p – Valentine’s special on estate planning</w:t>
      </w:r>
    </w:p>
    <w:p w14:paraId="02A7352B" w14:textId="78D71D3A" w:rsidR="00202DF1" w:rsidRPr="007D5F85" w:rsidRDefault="00202DF1" w:rsidP="00D46DA0">
      <w:pPr>
        <w:pStyle w:val="NoSpacing"/>
        <w:numPr>
          <w:ilvl w:val="0"/>
          <w:numId w:val="3"/>
        </w:numPr>
        <w:rPr>
          <w:rFonts w:cs="Times New Roman"/>
          <w:sz w:val="22"/>
        </w:rPr>
      </w:pPr>
      <w:r w:rsidRPr="007D5F85">
        <w:rPr>
          <w:rFonts w:cs="Times New Roman"/>
          <w:sz w:val="22"/>
        </w:rPr>
        <w:t xml:space="preserve">SSG prep for beginners hosted by Puget Sound.  5 nights, free.  Register at:  </w:t>
      </w:r>
      <w:r w:rsidR="002D0B41" w:rsidRPr="007D5F85">
        <w:rPr>
          <w:rFonts w:cs="Times New Roman"/>
          <w:sz w:val="22"/>
        </w:rPr>
        <w:t>https://www.betterinvesting.org/chapters/puget-sound/local-events/beginners-ssg</w:t>
      </w:r>
    </w:p>
    <w:p w14:paraId="6FEF88B9" w14:textId="22428522" w:rsidR="00D13A59" w:rsidRPr="007D5F85" w:rsidRDefault="00D13A59" w:rsidP="00D13A59">
      <w:pPr>
        <w:pStyle w:val="NoSpacing"/>
        <w:ind w:left="360"/>
        <w:rPr>
          <w:rStyle w:val="Hyperlink"/>
          <w:rFonts w:cs="Times New Roman"/>
          <w:color w:val="auto"/>
          <w:sz w:val="22"/>
          <w:u w:val="none"/>
        </w:rPr>
      </w:pPr>
    </w:p>
    <w:p w14:paraId="6CFA3494" w14:textId="45687689" w:rsidR="00D13A59" w:rsidRPr="007D5F85" w:rsidRDefault="00D13A59" w:rsidP="00D13A59">
      <w:pPr>
        <w:pStyle w:val="NoSpacing"/>
        <w:rPr>
          <w:rStyle w:val="Hyperlink"/>
          <w:rFonts w:cs="Times New Roman"/>
          <w:color w:val="auto"/>
          <w:sz w:val="22"/>
        </w:rPr>
      </w:pPr>
      <w:r w:rsidRPr="007D5F85">
        <w:rPr>
          <w:rStyle w:val="Hyperlink"/>
          <w:rFonts w:cs="Times New Roman"/>
          <w:color w:val="auto"/>
          <w:sz w:val="22"/>
        </w:rPr>
        <w:t>Resources</w:t>
      </w:r>
    </w:p>
    <w:p w14:paraId="11AAC269" w14:textId="3D492883" w:rsidR="00D13A59" w:rsidRPr="007D5F85" w:rsidRDefault="00D13A59" w:rsidP="00D46DA0">
      <w:pPr>
        <w:pStyle w:val="NoSpacing"/>
        <w:numPr>
          <w:ilvl w:val="0"/>
          <w:numId w:val="4"/>
        </w:numPr>
        <w:rPr>
          <w:rStyle w:val="Hyperlink"/>
          <w:rFonts w:cs="Times New Roman"/>
          <w:sz w:val="22"/>
        </w:rPr>
      </w:pPr>
      <w:proofErr w:type="spellStart"/>
      <w:r w:rsidRPr="007D5F85">
        <w:rPr>
          <w:rFonts w:cs="Times New Roman"/>
          <w:color w:val="auto"/>
          <w:sz w:val="22"/>
        </w:rPr>
        <w:t>CinMIC</w:t>
      </w:r>
      <w:proofErr w:type="spellEnd"/>
      <w:r w:rsidRPr="007D5F85">
        <w:rPr>
          <w:rFonts w:cs="Times New Roman"/>
          <w:color w:val="auto"/>
          <w:sz w:val="22"/>
        </w:rPr>
        <w:t xml:space="preserve"> portfolios on Manifest Investing: </w:t>
      </w:r>
      <w:hyperlink r:id="rId9" w:history="1">
        <w:proofErr w:type="spellStart"/>
        <w:r w:rsidRPr="007D5F85">
          <w:rPr>
            <w:rStyle w:val="Hyperlink"/>
            <w:rFonts w:cs="Times New Roman"/>
            <w:sz w:val="22"/>
          </w:rPr>
          <w:t>CinMIC</w:t>
        </w:r>
        <w:proofErr w:type="spellEnd"/>
        <w:r w:rsidRPr="007D5F85">
          <w:rPr>
            <w:rStyle w:val="Hyperlink"/>
            <w:rFonts w:cs="Times New Roman"/>
            <w:sz w:val="22"/>
          </w:rPr>
          <w:t xml:space="preserve"> Portfolio</w:t>
        </w:r>
      </w:hyperlink>
      <w:r w:rsidRPr="007D5F85">
        <w:rPr>
          <w:rStyle w:val="Hyperlink"/>
          <w:rFonts w:cs="Times New Roman"/>
          <w:color w:val="auto"/>
          <w:sz w:val="22"/>
        </w:rPr>
        <w:t xml:space="preserve">, Pounce List: </w:t>
      </w:r>
      <w:hyperlink r:id="rId10" w:history="1">
        <w:r w:rsidRPr="007D5F85">
          <w:rPr>
            <w:rStyle w:val="Hyperlink"/>
            <w:rFonts w:cs="Times New Roman"/>
            <w:sz w:val="22"/>
          </w:rPr>
          <w:t>Pounce List Companies</w:t>
        </w:r>
      </w:hyperlink>
      <w:r w:rsidRPr="007D5F85">
        <w:rPr>
          <w:rStyle w:val="Hyperlink"/>
          <w:rFonts w:cs="Times New Roman"/>
          <w:sz w:val="22"/>
        </w:rPr>
        <w:t>,</w:t>
      </w:r>
    </w:p>
    <w:p w14:paraId="5398380A" w14:textId="4EC6F859" w:rsidR="00D13A59" w:rsidRPr="007D5F85" w:rsidRDefault="00D13A59" w:rsidP="00D46DA0">
      <w:pPr>
        <w:pStyle w:val="NoSpacing"/>
        <w:numPr>
          <w:ilvl w:val="0"/>
          <w:numId w:val="4"/>
        </w:numPr>
        <w:rPr>
          <w:rFonts w:cs="Times New Roman"/>
          <w:color w:val="auto"/>
          <w:sz w:val="22"/>
        </w:rPr>
      </w:pPr>
      <w:r w:rsidRPr="007D5F85">
        <w:rPr>
          <w:rFonts w:cs="Times New Roman"/>
          <w:color w:val="auto"/>
          <w:sz w:val="22"/>
        </w:rPr>
        <w:t>Pre-screened stocks: Use Manifest Investing screen with rank&gt; 98%</w:t>
      </w:r>
    </w:p>
    <w:p w14:paraId="563C2EE1" w14:textId="77777777" w:rsidR="00D13A59" w:rsidRPr="007D5F85" w:rsidRDefault="00D13A59" w:rsidP="00D13A59">
      <w:pPr>
        <w:pStyle w:val="NoSpacing"/>
        <w:rPr>
          <w:rStyle w:val="Hyperlink"/>
          <w:rFonts w:cs="Times New Roman"/>
          <w:color w:val="auto"/>
          <w:sz w:val="22"/>
        </w:rPr>
      </w:pPr>
    </w:p>
    <w:p w14:paraId="5778C095" w14:textId="4D38A510" w:rsidR="006D7806" w:rsidRPr="007D5F85" w:rsidRDefault="00AF0964">
      <w:pPr>
        <w:widowControl w:val="0"/>
        <w:spacing w:after="0" w:line="240" w:lineRule="auto"/>
        <w:rPr>
          <w:rFonts w:ascii="Times New Roman" w:hAnsi="Times New Roman"/>
          <w:lang w:val="en"/>
        </w:rPr>
      </w:pPr>
      <w:r w:rsidRPr="007D5F85">
        <w:rPr>
          <w:rFonts w:ascii="Times New Roman" w:hAnsi="Times New Roman"/>
          <w:u w:val="single"/>
          <w:lang w:val="en"/>
        </w:rPr>
        <w:t>Old Business:</w:t>
      </w:r>
      <w:r w:rsidRPr="007D5F85">
        <w:rPr>
          <w:rFonts w:ascii="Times New Roman" w:hAnsi="Times New Roman"/>
          <w:lang w:val="en"/>
        </w:rPr>
        <w:t xml:space="preserve"> </w:t>
      </w:r>
    </w:p>
    <w:p w14:paraId="4E87FCC8" w14:textId="7815DE6A" w:rsidR="00D13A59" w:rsidRPr="007D5F85" w:rsidRDefault="00D13A59" w:rsidP="00D46DA0">
      <w:pPr>
        <w:pStyle w:val="NoSpacing"/>
        <w:numPr>
          <w:ilvl w:val="0"/>
          <w:numId w:val="5"/>
        </w:numPr>
        <w:rPr>
          <w:rFonts w:cs="Times New Roman"/>
          <w:color w:val="auto"/>
          <w:sz w:val="22"/>
        </w:rPr>
      </w:pPr>
      <w:r w:rsidRPr="007D5F85">
        <w:rPr>
          <w:rFonts w:cs="Times New Roman"/>
          <w:color w:val="auto"/>
          <w:sz w:val="22"/>
        </w:rPr>
        <w:t>Presentation schedule, see below</w:t>
      </w:r>
    </w:p>
    <w:p w14:paraId="11214629" w14:textId="7F6CC4DA" w:rsidR="00626A4C" w:rsidRPr="007D5F85" w:rsidRDefault="00626A4C" w:rsidP="00076A40">
      <w:pPr>
        <w:widowControl w:val="0"/>
        <w:spacing w:after="0" w:line="240" w:lineRule="auto"/>
        <w:ind w:left="360"/>
        <w:rPr>
          <w:rFonts w:ascii="Times New Roman" w:hAnsi="Times New Roman"/>
          <w:lang w:val="en"/>
        </w:rPr>
      </w:pPr>
    </w:p>
    <w:p w14:paraId="0AC8EA6A" w14:textId="77777777" w:rsidR="003D4C77" w:rsidRPr="007D5F85" w:rsidRDefault="003D4C77">
      <w:pPr>
        <w:widowControl w:val="0"/>
        <w:spacing w:after="0" w:line="240" w:lineRule="auto"/>
        <w:rPr>
          <w:rFonts w:ascii="Times New Roman" w:hAnsi="Times New Roman"/>
          <w:lang w:val="en"/>
        </w:rPr>
      </w:pPr>
    </w:p>
    <w:p w14:paraId="5B496549" w14:textId="77777777" w:rsidR="006D7806" w:rsidRPr="007D5F85" w:rsidRDefault="00AF0964">
      <w:pPr>
        <w:widowControl w:val="0"/>
        <w:spacing w:after="0" w:line="240" w:lineRule="auto"/>
        <w:rPr>
          <w:rFonts w:ascii="Times New Roman" w:hAnsi="Times New Roman"/>
          <w:lang w:val="en"/>
        </w:rPr>
      </w:pPr>
      <w:r w:rsidRPr="007D5F85">
        <w:rPr>
          <w:rFonts w:ascii="Times New Roman" w:hAnsi="Times New Roman"/>
          <w:u w:val="single"/>
          <w:lang w:val="en"/>
        </w:rPr>
        <w:t>New Business:</w:t>
      </w:r>
      <w:r w:rsidRPr="007D5F85">
        <w:rPr>
          <w:rFonts w:ascii="Times New Roman" w:hAnsi="Times New Roman"/>
          <w:lang w:val="en"/>
        </w:rPr>
        <w:t xml:space="preserve"> </w:t>
      </w:r>
    </w:p>
    <w:p w14:paraId="0B56372B" w14:textId="299A175E" w:rsidR="00D13A59" w:rsidRPr="007D5F85" w:rsidRDefault="00D13A59" w:rsidP="00D46DA0">
      <w:pPr>
        <w:pStyle w:val="NoSpacing"/>
        <w:numPr>
          <w:ilvl w:val="0"/>
          <w:numId w:val="5"/>
        </w:numPr>
        <w:rPr>
          <w:rFonts w:cs="Times New Roman"/>
          <w:color w:val="auto"/>
          <w:sz w:val="22"/>
        </w:rPr>
      </w:pPr>
      <w:r w:rsidRPr="007D5F85">
        <w:rPr>
          <w:rFonts w:cs="Times New Roman"/>
          <w:color w:val="auto"/>
          <w:sz w:val="22"/>
        </w:rPr>
        <w:t>Audit committee: Nelson, Marty, Rich, (Dene)</w:t>
      </w:r>
    </w:p>
    <w:p w14:paraId="07AE09FC" w14:textId="61726FD8" w:rsidR="0063685D" w:rsidRPr="007D5F85" w:rsidRDefault="00D13A59" w:rsidP="00D46DA0">
      <w:pPr>
        <w:pStyle w:val="ListParagraph"/>
        <w:widowControl w:val="0"/>
        <w:numPr>
          <w:ilvl w:val="0"/>
          <w:numId w:val="5"/>
        </w:numPr>
        <w:tabs>
          <w:tab w:val="left" w:pos="994"/>
        </w:tabs>
        <w:spacing w:after="0" w:line="240" w:lineRule="auto"/>
        <w:rPr>
          <w:rFonts w:ascii="Times New Roman" w:hAnsi="Times New Roman"/>
          <w:color w:val="FF0000"/>
          <w:u w:val="single"/>
          <w:lang w:val="en"/>
        </w:rPr>
      </w:pPr>
      <w:r w:rsidRPr="007D5F85">
        <w:rPr>
          <w:rFonts w:ascii="Times New Roman" w:hAnsi="Times New Roman"/>
        </w:rPr>
        <w:t>Manifest Investing renewal, $400 group subscription –</w:t>
      </w:r>
      <w:r w:rsidR="00AD086C" w:rsidRPr="007D5F85">
        <w:rPr>
          <w:rFonts w:ascii="Times New Roman" w:hAnsi="Times New Roman"/>
        </w:rPr>
        <w:t xml:space="preserve"> Marty/Gene Approved</w:t>
      </w:r>
    </w:p>
    <w:p w14:paraId="0938D14F" w14:textId="77777777" w:rsidR="00627DC7" w:rsidRPr="007D5F85" w:rsidRDefault="00627DC7" w:rsidP="00EB25D6">
      <w:pPr>
        <w:widowControl w:val="0"/>
        <w:tabs>
          <w:tab w:val="left" w:pos="994"/>
        </w:tabs>
        <w:spacing w:after="0" w:line="240" w:lineRule="auto"/>
        <w:rPr>
          <w:rFonts w:ascii="Times New Roman" w:hAnsi="Times New Roman"/>
          <w:color w:val="FF0000"/>
          <w:u w:val="single"/>
          <w:lang w:val="en"/>
        </w:rPr>
      </w:pPr>
    </w:p>
    <w:p w14:paraId="60A2472E" w14:textId="77777777" w:rsidR="00831ED4" w:rsidRPr="007D5F85" w:rsidRDefault="00831ED4" w:rsidP="00EB25D6">
      <w:pPr>
        <w:widowControl w:val="0"/>
        <w:tabs>
          <w:tab w:val="left" w:pos="994"/>
        </w:tabs>
        <w:spacing w:after="0" w:line="240" w:lineRule="auto"/>
        <w:rPr>
          <w:rFonts w:ascii="Times New Roman" w:hAnsi="Times New Roman"/>
          <w:u w:val="single"/>
          <w:lang w:val="en"/>
        </w:rPr>
      </w:pPr>
    </w:p>
    <w:p w14:paraId="54B2E2D3" w14:textId="15FE1AB0" w:rsidR="00EB25D6" w:rsidRPr="007D5F85" w:rsidRDefault="00AF0964" w:rsidP="00674420">
      <w:pPr>
        <w:widowControl w:val="0"/>
        <w:tabs>
          <w:tab w:val="left" w:pos="994"/>
        </w:tabs>
        <w:spacing w:after="0" w:line="240" w:lineRule="auto"/>
        <w:ind w:firstLine="360"/>
        <w:rPr>
          <w:rFonts w:ascii="Times New Roman" w:hAnsi="Times New Roman"/>
          <w:lang w:val="en"/>
        </w:rPr>
      </w:pPr>
      <w:r w:rsidRPr="007D5F85">
        <w:rPr>
          <w:rFonts w:ascii="Times New Roman" w:hAnsi="Times New Roman"/>
          <w:u w:val="single"/>
          <w:lang w:val="en"/>
        </w:rPr>
        <w:t>Stock Presentation</w:t>
      </w:r>
      <w:r w:rsidRPr="007D5F85">
        <w:rPr>
          <w:rFonts w:ascii="Times New Roman" w:hAnsi="Times New Roman"/>
          <w:lang w:val="en"/>
        </w:rPr>
        <w:t xml:space="preserve">: </w:t>
      </w:r>
    </w:p>
    <w:p w14:paraId="5052821E" w14:textId="6208F16D" w:rsidR="00D13A59" w:rsidRPr="007D5F85" w:rsidRDefault="00D13A59" w:rsidP="00D46DA0">
      <w:pPr>
        <w:pStyle w:val="ListParagraph"/>
        <w:widowControl w:val="0"/>
        <w:numPr>
          <w:ilvl w:val="0"/>
          <w:numId w:val="6"/>
        </w:numPr>
        <w:tabs>
          <w:tab w:val="left" w:pos="810"/>
        </w:tabs>
        <w:spacing w:after="0" w:line="240" w:lineRule="auto"/>
        <w:ind w:hanging="720"/>
        <w:rPr>
          <w:rFonts w:ascii="Times New Roman" w:hAnsi="Times New Roman"/>
          <w:lang w:val="en"/>
        </w:rPr>
      </w:pPr>
      <w:r w:rsidRPr="007D5F85">
        <w:rPr>
          <w:rFonts w:ascii="Times New Roman" w:hAnsi="Times New Roman"/>
        </w:rPr>
        <w:t>Gene: Ollie’s Bargain Outlet Holdings Inc. (OLLI)</w:t>
      </w:r>
    </w:p>
    <w:p w14:paraId="0C22CF3F" w14:textId="7B1BA229" w:rsidR="007F5F6F" w:rsidRPr="007D5F85" w:rsidRDefault="007F5F6F" w:rsidP="00D46DA0">
      <w:pPr>
        <w:pStyle w:val="ListParagraph"/>
        <w:widowControl w:val="0"/>
        <w:numPr>
          <w:ilvl w:val="0"/>
          <w:numId w:val="6"/>
        </w:numPr>
        <w:tabs>
          <w:tab w:val="left" w:pos="810"/>
        </w:tabs>
        <w:spacing w:after="0" w:line="240" w:lineRule="auto"/>
        <w:ind w:hanging="720"/>
        <w:rPr>
          <w:rFonts w:ascii="Times New Roman" w:hAnsi="Times New Roman"/>
          <w:lang w:val="en"/>
        </w:rPr>
      </w:pPr>
      <w:r w:rsidRPr="007D5F85">
        <w:rPr>
          <w:rFonts w:ascii="Times New Roman" w:hAnsi="Times New Roman"/>
        </w:rPr>
        <w:t xml:space="preserve">Looks like a </w:t>
      </w:r>
      <w:proofErr w:type="spellStart"/>
      <w:proofErr w:type="gramStart"/>
      <w:r w:rsidRPr="007D5F85">
        <w:rPr>
          <w:rFonts w:ascii="Times New Roman" w:hAnsi="Times New Roman"/>
        </w:rPr>
        <w:t>well run</w:t>
      </w:r>
      <w:proofErr w:type="spellEnd"/>
      <w:proofErr w:type="gramEnd"/>
      <w:r w:rsidRPr="007D5F85">
        <w:rPr>
          <w:rFonts w:ascii="Times New Roman" w:hAnsi="Times New Roman"/>
        </w:rPr>
        <w:t xml:space="preserve"> company with a lot of growth potential, but currently not in the Buy range</w:t>
      </w:r>
    </w:p>
    <w:p w14:paraId="79412091" w14:textId="77777777" w:rsidR="00B53745" w:rsidRPr="007D5F85" w:rsidRDefault="00B53745" w:rsidP="00B53745">
      <w:pPr>
        <w:widowControl w:val="0"/>
        <w:tabs>
          <w:tab w:val="left" w:pos="994"/>
        </w:tabs>
        <w:spacing w:after="0" w:line="240" w:lineRule="auto"/>
        <w:rPr>
          <w:rFonts w:ascii="Times New Roman" w:hAnsi="Times New Roman"/>
          <w:u w:val="single"/>
          <w:lang w:val="en"/>
        </w:rPr>
      </w:pPr>
    </w:p>
    <w:p w14:paraId="2B8EDA90" w14:textId="7A33D040" w:rsidR="008C3CB5" w:rsidRPr="007D5F85" w:rsidRDefault="00AF0964" w:rsidP="007D5F85">
      <w:pPr>
        <w:widowControl w:val="0"/>
        <w:tabs>
          <w:tab w:val="left" w:pos="994"/>
        </w:tabs>
        <w:spacing w:after="0" w:line="240" w:lineRule="auto"/>
        <w:ind w:left="450" w:hanging="90"/>
        <w:rPr>
          <w:rFonts w:ascii="Times New Roman" w:hAnsi="Times New Roman"/>
          <w:lang w:val="en"/>
        </w:rPr>
      </w:pPr>
      <w:r w:rsidRPr="007D5F85">
        <w:rPr>
          <w:rFonts w:ascii="Times New Roman" w:hAnsi="Times New Roman"/>
          <w:u w:val="single"/>
          <w:lang w:val="en"/>
        </w:rPr>
        <w:t>Education:</w:t>
      </w:r>
      <w:r w:rsidRPr="007D5F85">
        <w:rPr>
          <w:rFonts w:ascii="Times New Roman" w:hAnsi="Times New Roman"/>
          <w:lang w:val="en"/>
        </w:rPr>
        <w:t xml:space="preserve"> </w:t>
      </w:r>
    </w:p>
    <w:p w14:paraId="30C928CD" w14:textId="0DFFCB87" w:rsidR="00D13A59" w:rsidRPr="00674420" w:rsidRDefault="00D13A59" w:rsidP="00674420">
      <w:pPr>
        <w:pStyle w:val="NoSpacing"/>
        <w:numPr>
          <w:ilvl w:val="0"/>
          <w:numId w:val="6"/>
        </w:numPr>
        <w:ind w:left="450" w:hanging="90"/>
        <w:rPr>
          <w:rFonts w:cs="Times New Roman"/>
          <w:color w:val="auto"/>
          <w:sz w:val="22"/>
        </w:rPr>
      </w:pPr>
      <w:r w:rsidRPr="007D5F85">
        <w:rPr>
          <w:rFonts w:cs="Times New Roman"/>
          <w:color w:val="auto"/>
          <w:sz w:val="22"/>
        </w:rPr>
        <w:t xml:space="preserve">Kate: “Research Sources for SSG Judgments” </w:t>
      </w:r>
    </w:p>
    <w:p w14:paraId="6E4FA84E" w14:textId="77777777" w:rsidR="00D908B9" w:rsidRPr="007D5F85" w:rsidRDefault="00D908B9" w:rsidP="007D5F85">
      <w:pPr>
        <w:widowControl w:val="0"/>
        <w:tabs>
          <w:tab w:val="left" w:pos="994"/>
        </w:tabs>
        <w:spacing w:after="0" w:line="240" w:lineRule="auto"/>
        <w:ind w:left="450" w:hanging="90"/>
        <w:rPr>
          <w:rFonts w:ascii="Times New Roman" w:hAnsi="Times New Roman"/>
          <w:u w:val="single"/>
        </w:rPr>
      </w:pPr>
    </w:p>
    <w:p w14:paraId="6B8DFB45" w14:textId="1379ACEE" w:rsidR="006D7806" w:rsidRPr="007D5F85" w:rsidRDefault="00AF0964" w:rsidP="007D5F85">
      <w:pPr>
        <w:spacing w:after="0" w:line="240" w:lineRule="auto"/>
        <w:ind w:left="450" w:hanging="90"/>
        <w:rPr>
          <w:rFonts w:ascii="Times New Roman" w:hAnsi="Times New Roman"/>
        </w:rPr>
      </w:pPr>
      <w:r w:rsidRPr="007D5F85">
        <w:rPr>
          <w:rFonts w:ascii="Times New Roman" w:hAnsi="Times New Roman"/>
          <w:u w:val="single"/>
        </w:rPr>
        <w:t>Portfolio Report</w:t>
      </w:r>
      <w:r w:rsidRPr="007D5F85">
        <w:rPr>
          <w:rFonts w:ascii="Times New Roman" w:hAnsi="Times New Roman"/>
        </w:rPr>
        <w:t>:</w:t>
      </w:r>
    </w:p>
    <w:p w14:paraId="1FA6CBBD" w14:textId="00F6C4A9" w:rsidR="00D13A59" w:rsidRPr="007D5F85" w:rsidRDefault="00D13A59" w:rsidP="007D5F85">
      <w:pPr>
        <w:pStyle w:val="NoSpacing"/>
        <w:numPr>
          <w:ilvl w:val="0"/>
          <w:numId w:val="6"/>
        </w:numPr>
        <w:ind w:left="450" w:hanging="90"/>
        <w:rPr>
          <w:rFonts w:cs="Times New Roman"/>
          <w:color w:val="auto"/>
          <w:sz w:val="22"/>
        </w:rPr>
      </w:pPr>
      <w:r w:rsidRPr="007D5F85">
        <w:rPr>
          <w:rFonts w:cs="Times New Roman"/>
          <w:color w:val="auto"/>
          <w:sz w:val="22"/>
        </w:rPr>
        <w:t xml:space="preserve">Marty’s analysis of the </w:t>
      </w:r>
      <w:proofErr w:type="spellStart"/>
      <w:r w:rsidRPr="007D5F85">
        <w:rPr>
          <w:rFonts w:cs="Times New Roman"/>
          <w:color w:val="auto"/>
          <w:sz w:val="22"/>
        </w:rPr>
        <w:t>CinMIC</w:t>
      </w:r>
      <w:proofErr w:type="spellEnd"/>
      <w:r w:rsidRPr="007D5F85">
        <w:rPr>
          <w:rFonts w:cs="Times New Roman"/>
          <w:color w:val="auto"/>
          <w:sz w:val="22"/>
        </w:rPr>
        <w:t xml:space="preserve"> portfolio; members to address their PERT misses</w:t>
      </w:r>
    </w:p>
    <w:p w14:paraId="3DEBF1C4" w14:textId="1B338A05" w:rsidR="00D13A59" w:rsidRDefault="00D13A59" w:rsidP="007D5F85">
      <w:pPr>
        <w:pStyle w:val="ListParagraph"/>
        <w:numPr>
          <w:ilvl w:val="0"/>
          <w:numId w:val="6"/>
        </w:numPr>
        <w:spacing w:after="0" w:line="240" w:lineRule="auto"/>
        <w:ind w:left="450" w:hanging="90"/>
        <w:rPr>
          <w:rFonts w:ascii="Times New Roman" w:hAnsi="Times New Roman"/>
        </w:rPr>
      </w:pPr>
      <w:r w:rsidRPr="007D5F85">
        <w:rPr>
          <w:rFonts w:ascii="Times New Roman" w:hAnsi="Times New Roman"/>
        </w:rPr>
        <w:t>New interim report proposal</w:t>
      </w:r>
    </w:p>
    <w:p w14:paraId="32F99309" w14:textId="5134D4C9" w:rsidR="007D5F85" w:rsidRDefault="007D5F85" w:rsidP="007D5F85">
      <w:pPr>
        <w:pStyle w:val="ListParagraph"/>
        <w:numPr>
          <w:ilvl w:val="0"/>
          <w:numId w:val="6"/>
        </w:numPr>
        <w:ind w:left="720"/>
        <w:rPr>
          <w:rFonts w:ascii="Times New Roman" w:hAnsi="Times New Roman"/>
        </w:rPr>
      </w:pPr>
      <w:r w:rsidRPr="007D5F85">
        <w:rPr>
          <w:rFonts w:ascii="Times New Roman" w:hAnsi="Times New Roman"/>
        </w:rPr>
        <w:t xml:space="preserve">Dene suggested we consider Adobe (ADBE), originally presented by Jackie. It is doing well and has good growth prospects. </w:t>
      </w:r>
    </w:p>
    <w:p w14:paraId="1315113F" w14:textId="77777777" w:rsidR="007D5F85" w:rsidRPr="007D5F85" w:rsidRDefault="007D5F85" w:rsidP="007D5F85">
      <w:pPr>
        <w:pStyle w:val="ListParagraph"/>
        <w:numPr>
          <w:ilvl w:val="0"/>
          <w:numId w:val="6"/>
        </w:numPr>
        <w:ind w:left="720"/>
        <w:rPr>
          <w:rFonts w:ascii="Times New Roman" w:hAnsi="Times New Roman"/>
        </w:rPr>
      </w:pPr>
      <w:r w:rsidRPr="007D5F85">
        <w:rPr>
          <w:rFonts w:ascii="Times New Roman" w:hAnsi="Times New Roman"/>
        </w:rPr>
        <w:t>Marty did an SCG comparing MRCY and CACI, MRCY looks better on paper but CACI is in the buy zone. Roger and Craig to discuss whether CACI and MRCY overlap and whether one should be dropped to make way for ADBE</w:t>
      </w:r>
    </w:p>
    <w:p w14:paraId="6929915A" w14:textId="77777777" w:rsidR="00D13A59" w:rsidRPr="007D5F85" w:rsidRDefault="00D13A59" w:rsidP="007D5F85">
      <w:pPr>
        <w:spacing w:after="0" w:line="240" w:lineRule="auto"/>
        <w:ind w:left="450" w:hanging="90"/>
        <w:rPr>
          <w:rFonts w:ascii="Times New Roman" w:hAnsi="Times New Roman"/>
        </w:rPr>
      </w:pPr>
    </w:p>
    <w:p w14:paraId="52B36B3F" w14:textId="7ABA2240" w:rsidR="006D7806" w:rsidRPr="007D5F85" w:rsidRDefault="00AF0964" w:rsidP="007D5F85">
      <w:pPr>
        <w:spacing w:after="0" w:line="240" w:lineRule="auto"/>
        <w:ind w:left="450" w:hanging="90"/>
        <w:rPr>
          <w:rFonts w:ascii="Times New Roman" w:eastAsia="Times New Roman" w:hAnsi="Times New Roman"/>
          <w:u w:val="single"/>
        </w:rPr>
      </w:pPr>
      <w:r w:rsidRPr="007D5F85">
        <w:rPr>
          <w:rFonts w:ascii="Times New Roman" w:eastAsia="Times New Roman" w:hAnsi="Times New Roman"/>
          <w:u w:val="single"/>
        </w:rPr>
        <w:t xml:space="preserve">Review and Reflection: </w:t>
      </w:r>
    </w:p>
    <w:p w14:paraId="72C599F7" w14:textId="77777777" w:rsidR="007D5F85" w:rsidRPr="007D5F85" w:rsidRDefault="007D5F85" w:rsidP="007D5F85">
      <w:pPr>
        <w:pStyle w:val="ListParagraph"/>
        <w:numPr>
          <w:ilvl w:val="0"/>
          <w:numId w:val="7"/>
        </w:numPr>
        <w:ind w:left="720"/>
        <w:rPr>
          <w:rFonts w:ascii="Times New Roman" w:hAnsi="Times New Roman"/>
          <w:color w:val="000000" w:themeColor="text1"/>
        </w:rPr>
      </w:pPr>
      <w:r w:rsidRPr="007D5F85">
        <w:rPr>
          <w:rFonts w:ascii="Times New Roman" w:hAnsi="Times New Roman"/>
          <w:color w:val="000000" w:themeColor="text1"/>
        </w:rPr>
        <w:t>Nelson favors keeping healthcare mutual fund and adding an ETF. Neither will require monitoring, freeing him to follow SCHW. Craig will pass SCHW to Nelson and report monthly on IAS and Small Cap Informer.</w:t>
      </w:r>
    </w:p>
    <w:p w14:paraId="6F6AE44F" w14:textId="1E7D617F" w:rsidR="007D5F85" w:rsidRPr="007D5F85" w:rsidRDefault="007D5F85" w:rsidP="007D5F85">
      <w:pPr>
        <w:pStyle w:val="ListParagraph"/>
        <w:numPr>
          <w:ilvl w:val="0"/>
          <w:numId w:val="7"/>
        </w:numPr>
        <w:ind w:left="720"/>
        <w:rPr>
          <w:rFonts w:ascii="Times New Roman" w:hAnsi="Times New Roman"/>
        </w:rPr>
      </w:pPr>
      <w:r w:rsidRPr="007D5F85">
        <w:rPr>
          <w:rFonts w:ascii="Times New Roman" w:hAnsi="Times New Roman"/>
        </w:rPr>
        <w:t xml:space="preserve">BORSA app – lets you listen to podcasts of earnings calls – </w:t>
      </w:r>
      <w:proofErr w:type="spellStart"/>
      <w:r w:rsidRPr="007D5F85">
        <w:rPr>
          <w:rFonts w:ascii="Times New Roman" w:hAnsi="Times New Roman"/>
        </w:rPr>
        <w:t>add’l</w:t>
      </w:r>
      <w:proofErr w:type="spellEnd"/>
      <w:r w:rsidRPr="007D5F85">
        <w:rPr>
          <w:rFonts w:ascii="Times New Roman" w:hAnsi="Times New Roman"/>
        </w:rPr>
        <w:t xml:space="preserve"> resource for Kate’s report, </w:t>
      </w:r>
      <w:proofErr w:type="spellStart"/>
      <w:r w:rsidRPr="007D5F85">
        <w:rPr>
          <w:rFonts w:ascii="Times New Roman" w:hAnsi="Times New Roman"/>
        </w:rPr>
        <w:t>borsa</w:t>
      </w:r>
      <w:proofErr w:type="spellEnd"/>
      <w:r w:rsidRPr="007D5F85">
        <w:rPr>
          <w:rFonts w:ascii="Times New Roman" w:hAnsi="Times New Roman"/>
        </w:rPr>
        <w:t xml:space="preserve"> app on </w:t>
      </w:r>
      <w:proofErr w:type="spellStart"/>
      <w:r w:rsidRPr="007D5F85">
        <w:rPr>
          <w:rFonts w:ascii="Times New Roman" w:hAnsi="Times New Roman"/>
        </w:rPr>
        <w:t>iphone</w:t>
      </w:r>
      <w:proofErr w:type="spellEnd"/>
      <w:r w:rsidRPr="007D5F85">
        <w:rPr>
          <w:rFonts w:ascii="Times New Roman" w:hAnsi="Times New Roman"/>
        </w:rPr>
        <w:t xml:space="preserve"> and google play. www.borsahq.com</w:t>
      </w:r>
    </w:p>
    <w:p w14:paraId="51C0FB6B" w14:textId="688B8A40" w:rsidR="00D13A59" w:rsidRPr="007D5F85" w:rsidRDefault="00D13A59" w:rsidP="007D5F85">
      <w:pPr>
        <w:pStyle w:val="ListParagraph"/>
        <w:numPr>
          <w:ilvl w:val="0"/>
          <w:numId w:val="7"/>
        </w:numPr>
        <w:spacing w:after="0" w:line="240" w:lineRule="auto"/>
        <w:ind w:left="720"/>
        <w:rPr>
          <w:rFonts w:ascii="Times New Roman" w:eastAsia="Times New Roman" w:hAnsi="Times New Roman"/>
          <w:u w:val="single"/>
        </w:rPr>
      </w:pPr>
      <w:r w:rsidRPr="007D5F85">
        <w:rPr>
          <w:rFonts w:ascii="Times New Roman" w:hAnsi="Times New Roman"/>
        </w:rPr>
        <w:t xml:space="preserve">Craig’s offer to report IAS and Small Stock Investor. Do we need to follow FSPHX? Nelson’s survey </w:t>
      </w:r>
      <w:proofErr w:type="gramStart"/>
      <w:r w:rsidRPr="007D5F85">
        <w:rPr>
          <w:rFonts w:ascii="Times New Roman" w:hAnsi="Times New Roman"/>
        </w:rPr>
        <w:t xml:space="preserve">and </w:t>
      </w:r>
      <w:r w:rsidR="007D5F85">
        <w:rPr>
          <w:rFonts w:ascii="Times New Roman" w:hAnsi="Times New Roman"/>
        </w:rPr>
        <w:t xml:space="preserve"> </w:t>
      </w:r>
      <w:r w:rsidRPr="007D5F85">
        <w:rPr>
          <w:rFonts w:ascii="Times New Roman" w:hAnsi="Times New Roman"/>
        </w:rPr>
        <w:t>spreadsheet</w:t>
      </w:r>
      <w:proofErr w:type="gramEnd"/>
      <w:r w:rsidRPr="007D5F85">
        <w:rPr>
          <w:rFonts w:ascii="Times New Roman" w:hAnsi="Times New Roman"/>
        </w:rPr>
        <w:t>. How to manage/expand the number of stocks in the portfolio?</w:t>
      </w:r>
    </w:p>
    <w:p w14:paraId="2D1C75AE" w14:textId="77777777" w:rsidR="002E783D" w:rsidRPr="007D5F85" w:rsidRDefault="002E783D" w:rsidP="002E783D">
      <w:pPr>
        <w:spacing w:after="0" w:line="240" w:lineRule="auto"/>
        <w:rPr>
          <w:rFonts w:ascii="Times New Roman" w:hAnsi="Times New Roman"/>
        </w:rPr>
      </w:pPr>
    </w:p>
    <w:p w14:paraId="0FC0474F" w14:textId="448D4339" w:rsidR="002C4DEE" w:rsidRPr="007D5F85" w:rsidRDefault="002C4DEE" w:rsidP="002C4DEE">
      <w:pPr>
        <w:widowControl w:val="0"/>
        <w:spacing w:after="0" w:line="240" w:lineRule="auto"/>
        <w:rPr>
          <w:rFonts w:ascii="Times New Roman" w:hAnsi="Times New Roman"/>
          <w:lang w:val="en"/>
        </w:rPr>
      </w:pPr>
      <w:r w:rsidRPr="007D5F85">
        <w:rPr>
          <w:rFonts w:ascii="Times New Roman" w:hAnsi="Times New Roman"/>
          <w:u w:val="single"/>
          <w:lang w:val="en"/>
        </w:rPr>
        <w:t>Buy/Sell Decisions:</w:t>
      </w:r>
      <w:r w:rsidRPr="007D5F85">
        <w:rPr>
          <w:rFonts w:ascii="Times New Roman" w:hAnsi="Times New Roman"/>
          <w:lang w:val="en"/>
        </w:rPr>
        <w:t xml:space="preserve"> (motion/second: action, type, yes/no/abstain)</w:t>
      </w:r>
    </w:p>
    <w:p w14:paraId="7A58C19D" w14:textId="04692CEA" w:rsidR="00626A4C" w:rsidRPr="007D5F85" w:rsidRDefault="00C06550" w:rsidP="002C4DEE">
      <w:pPr>
        <w:widowControl w:val="0"/>
        <w:spacing w:after="0" w:line="240" w:lineRule="auto"/>
        <w:rPr>
          <w:rFonts w:ascii="Times New Roman" w:hAnsi="Times New Roman"/>
          <w:lang w:val="en"/>
        </w:rPr>
      </w:pPr>
      <w:r w:rsidRPr="007D5F85">
        <w:rPr>
          <w:rFonts w:ascii="Times New Roman" w:hAnsi="Times New Roman"/>
          <w:lang w:val="en"/>
        </w:rPr>
        <w:t xml:space="preserve">Buy 10 </w:t>
      </w:r>
      <w:proofErr w:type="spellStart"/>
      <w:r w:rsidRPr="007D5F85">
        <w:rPr>
          <w:rFonts w:ascii="Times New Roman" w:hAnsi="Times New Roman"/>
          <w:lang w:val="en"/>
        </w:rPr>
        <w:t>i</w:t>
      </w:r>
      <w:r w:rsidR="00723347" w:rsidRPr="007D5F85">
        <w:rPr>
          <w:rFonts w:ascii="Times New Roman" w:hAnsi="Times New Roman"/>
          <w:lang w:val="en"/>
        </w:rPr>
        <w:t>IRBT</w:t>
      </w:r>
      <w:proofErr w:type="spellEnd"/>
      <w:r w:rsidR="00723347" w:rsidRPr="007D5F85">
        <w:rPr>
          <w:rFonts w:ascii="Times New Roman" w:hAnsi="Times New Roman"/>
          <w:lang w:val="en"/>
        </w:rPr>
        <w:t xml:space="preserve"> Market  </w:t>
      </w:r>
      <w:r w:rsidRPr="007D5F85">
        <w:rPr>
          <w:rFonts w:ascii="Times New Roman" w:hAnsi="Times New Roman"/>
          <w:lang w:val="en"/>
        </w:rPr>
        <w:t xml:space="preserve"> Marty Gene Yes 11/</w:t>
      </w:r>
      <w:r w:rsidR="007D5F85">
        <w:rPr>
          <w:rFonts w:ascii="Times New Roman" w:hAnsi="Times New Roman"/>
          <w:lang w:val="en"/>
        </w:rPr>
        <w:t>2/1</w:t>
      </w:r>
    </w:p>
    <w:p w14:paraId="0781254C" w14:textId="72080DEC" w:rsidR="007D5F85" w:rsidRPr="00B70562" w:rsidRDefault="00C06550" w:rsidP="00B70562">
      <w:pPr>
        <w:widowControl w:val="0"/>
        <w:spacing w:after="0" w:line="240" w:lineRule="auto"/>
        <w:rPr>
          <w:rFonts w:ascii="Times New Roman" w:hAnsi="Times New Roman"/>
          <w:lang w:val="en"/>
        </w:rPr>
      </w:pPr>
      <w:r w:rsidRPr="007D5F85">
        <w:rPr>
          <w:rFonts w:ascii="Times New Roman" w:hAnsi="Times New Roman"/>
          <w:lang w:val="en"/>
        </w:rPr>
        <w:t xml:space="preserve">Buy 10 CACI </w:t>
      </w:r>
      <w:r w:rsidR="00723347" w:rsidRPr="007D5F85">
        <w:rPr>
          <w:rFonts w:ascii="Times New Roman" w:hAnsi="Times New Roman"/>
          <w:lang w:val="en"/>
        </w:rPr>
        <w:t xml:space="preserve">Market </w:t>
      </w:r>
      <w:r w:rsidR="007D5F85">
        <w:rPr>
          <w:rFonts w:ascii="Times New Roman" w:hAnsi="Times New Roman"/>
          <w:lang w:val="en"/>
        </w:rPr>
        <w:t xml:space="preserve"> Gregg/Gene</w:t>
      </w:r>
      <w:r w:rsidR="00723347" w:rsidRPr="007D5F85">
        <w:rPr>
          <w:rFonts w:ascii="Times New Roman" w:hAnsi="Times New Roman"/>
          <w:lang w:val="en"/>
        </w:rPr>
        <w:t xml:space="preserve">  </w:t>
      </w:r>
      <w:r w:rsidR="00E938E5">
        <w:rPr>
          <w:rFonts w:ascii="Times New Roman" w:hAnsi="Times New Roman"/>
          <w:lang w:val="en"/>
        </w:rPr>
        <w:t xml:space="preserve">No </w:t>
      </w:r>
      <w:r w:rsidRPr="007D5F85">
        <w:rPr>
          <w:rFonts w:ascii="Times New Roman" w:hAnsi="Times New Roman"/>
          <w:lang w:val="en"/>
        </w:rPr>
        <w:t>4/8/2</w:t>
      </w:r>
    </w:p>
    <w:p w14:paraId="4EE9738E" w14:textId="03D7DEA9" w:rsidR="007D5F85" w:rsidRPr="00B70562" w:rsidRDefault="007D5F85" w:rsidP="00B70562">
      <w:r>
        <w:t xml:space="preserve">Dene/Marty – motion to </w:t>
      </w:r>
      <w:r w:rsidR="00E938E5">
        <w:t>adjourn</w:t>
      </w:r>
      <w:r w:rsidR="00B70562">
        <w:t xml:space="preserve"> at 11:46 am</w:t>
      </w:r>
    </w:p>
    <w:p w14:paraId="12E61C55" w14:textId="77777777" w:rsidR="00626A4C" w:rsidRPr="007D5F85" w:rsidRDefault="00626A4C" w:rsidP="002C4DEE">
      <w:pPr>
        <w:widowControl w:val="0"/>
        <w:spacing w:after="0" w:line="240" w:lineRule="auto"/>
        <w:rPr>
          <w:rFonts w:ascii="Times New Roman" w:hAnsi="Times New Roman"/>
          <w:lang w:val="en"/>
        </w:rPr>
      </w:pPr>
    </w:p>
    <w:tbl>
      <w:tblPr>
        <w:tblStyle w:val="TableGrid0"/>
        <w:tblW w:w="0" w:type="auto"/>
        <w:tblLook w:val="04A0" w:firstRow="1" w:lastRow="0" w:firstColumn="1" w:lastColumn="0" w:noHBand="0" w:noVBand="1"/>
      </w:tblPr>
      <w:tblGrid>
        <w:gridCol w:w="2329"/>
        <w:gridCol w:w="1179"/>
        <w:gridCol w:w="1369"/>
        <w:gridCol w:w="1499"/>
        <w:gridCol w:w="1487"/>
        <w:gridCol w:w="930"/>
        <w:gridCol w:w="998"/>
        <w:gridCol w:w="1179"/>
      </w:tblGrid>
      <w:tr w:rsidR="00D13A59" w:rsidRPr="007D5F85" w14:paraId="4B33DE19" w14:textId="77777777" w:rsidTr="00D923F0">
        <w:trPr>
          <w:trHeight w:val="403"/>
        </w:trPr>
        <w:tc>
          <w:tcPr>
            <w:tcW w:w="2330" w:type="dxa"/>
            <w:vAlign w:val="center"/>
            <w:hideMark/>
          </w:tcPr>
          <w:p w14:paraId="2D164B9E"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Stock</w:t>
            </w:r>
          </w:p>
        </w:tc>
        <w:tc>
          <w:tcPr>
            <w:tcW w:w="1180" w:type="dxa"/>
            <w:vAlign w:val="center"/>
            <w:hideMark/>
          </w:tcPr>
          <w:p w14:paraId="4B5FB11B"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Symbol</w:t>
            </w:r>
          </w:p>
        </w:tc>
        <w:tc>
          <w:tcPr>
            <w:tcW w:w="1370" w:type="dxa"/>
            <w:vAlign w:val="center"/>
            <w:hideMark/>
          </w:tcPr>
          <w:p w14:paraId="311A484E"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Watcher</w:t>
            </w:r>
          </w:p>
        </w:tc>
        <w:tc>
          <w:tcPr>
            <w:tcW w:w="1500" w:type="dxa"/>
            <w:vAlign w:val="center"/>
            <w:hideMark/>
          </w:tcPr>
          <w:p w14:paraId="5854969A"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Watcher: Buy/Hold/Sell</w:t>
            </w:r>
          </w:p>
        </w:tc>
        <w:tc>
          <w:tcPr>
            <w:tcW w:w="1440" w:type="dxa"/>
            <w:vAlign w:val="center"/>
            <w:hideMark/>
          </w:tcPr>
          <w:p w14:paraId="4022699D"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SSG: Buy/Hold/Sell</w:t>
            </w:r>
          </w:p>
        </w:tc>
        <w:tc>
          <w:tcPr>
            <w:tcW w:w="900" w:type="dxa"/>
            <w:vAlign w:val="center"/>
            <w:hideMark/>
          </w:tcPr>
          <w:p w14:paraId="033A7372"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 of Shares</w:t>
            </w:r>
          </w:p>
        </w:tc>
        <w:tc>
          <w:tcPr>
            <w:tcW w:w="990" w:type="dxa"/>
            <w:vAlign w:val="center"/>
          </w:tcPr>
          <w:p w14:paraId="746B93DC"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 of Portfolio</w:t>
            </w:r>
          </w:p>
        </w:tc>
        <w:tc>
          <w:tcPr>
            <w:tcW w:w="1180" w:type="dxa"/>
            <w:vAlign w:val="center"/>
            <w:hideMark/>
          </w:tcPr>
          <w:p w14:paraId="5E1448A6"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Year End</w:t>
            </w:r>
          </w:p>
        </w:tc>
      </w:tr>
      <w:tr w:rsidR="00D13A59" w:rsidRPr="007D5F85" w14:paraId="22FA00F6" w14:textId="77777777" w:rsidTr="00D923F0">
        <w:trPr>
          <w:trHeight w:val="261"/>
        </w:trPr>
        <w:tc>
          <w:tcPr>
            <w:tcW w:w="2330" w:type="dxa"/>
            <w:noWrap/>
            <w:hideMark/>
          </w:tcPr>
          <w:p w14:paraId="1FDC3E19"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Alphabet</w:t>
            </w:r>
          </w:p>
        </w:tc>
        <w:tc>
          <w:tcPr>
            <w:tcW w:w="1180" w:type="dxa"/>
            <w:noWrap/>
            <w:hideMark/>
          </w:tcPr>
          <w:p w14:paraId="5F4716D4"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GOOG</w:t>
            </w:r>
          </w:p>
        </w:tc>
        <w:tc>
          <w:tcPr>
            <w:tcW w:w="1370" w:type="dxa"/>
            <w:noWrap/>
            <w:hideMark/>
          </w:tcPr>
          <w:p w14:paraId="4543A360"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Nelson (2)</w:t>
            </w:r>
          </w:p>
        </w:tc>
        <w:tc>
          <w:tcPr>
            <w:tcW w:w="1500" w:type="dxa"/>
            <w:noWrap/>
          </w:tcPr>
          <w:p w14:paraId="4EDF63FA"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6B0B604F"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AA585"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3</w:t>
            </w:r>
          </w:p>
        </w:tc>
        <w:tc>
          <w:tcPr>
            <w:tcW w:w="990" w:type="dxa"/>
            <w:tcBorders>
              <w:top w:val="single" w:sz="4" w:space="0" w:color="auto"/>
              <w:left w:val="single" w:sz="4" w:space="0" w:color="auto"/>
              <w:bottom w:val="single" w:sz="4" w:space="0" w:color="auto"/>
              <w:right w:val="single" w:sz="4" w:space="0" w:color="auto"/>
            </w:tcBorders>
          </w:tcPr>
          <w:p w14:paraId="322CABAB"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2.9</w:t>
            </w:r>
          </w:p>
        </w:tc>
        <w:tc>
          <w:tcPr>
            <w:tcW w:w="1180" w:type="dxa"/>
            <w:noWrap/>
          </w:tcPr>
          <w:p w14:paraId="76C29C7B"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45F3463F" w14:textId="77777777" w:rsidTr="00D923F0">
        <w:trPr>
          <w:trHeight w:val="261"/>
        </w:trPr>
        <w:tc>
          <w:tcPr>
            <w:tcW w:w="2330" w:type="dxa"/>
            <w:noWrap/>
          </w:tcPr>
          <w:p w14:paraId="6C03B4F5"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 xml:space="preserve">Apple </w:t>
            </w:r>
          </w:p>
        </w:tc>
        <w:tc>
          <w:tcPr>
            <w:tcW w:w="1180" w:type="dxa"/>
            <w:noWrap/>
          </w:tcPr>
          <w:p w14:paraId="654201CE"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AAPL</w:t>
            </w:r>
          </w:p>
        </w:tc>
        <w:tc>
          <w:tcPr>
            <w:tcW w:w="1370" w:type="dxa"/>
            <w:noWrap/>
          </w:tcPr>
          <w:p w14:paraId="304C1DC5"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Jackie</w:t>
            </w:r>
          </w:p>
        </w:tc>
        <w:tc>
          <w:tcPr>
            <w:tcW w:w="1500" w:type="dxa"/>
            <w:noWrap/>
          </w:tcPr>
          <w:p w14:paraId="731ED18D"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0059F6E7"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1661A5F5"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140</w:t>
            </w:r>
          </w:p>
        </w:tc>
        <w:tc>
          <w:tcPr>
            <w:tcW w:w="990" w:type="dxa"/>
            <w:tcBorders>
              <w:top w:val="single" w:sz="4" w:space="0" w:color="auto"/>
              <w:left w:val="single" w:sz="4" w:space="0" w:color="auto"/>
              <w:bottom w:val="single" w:sz="4" w:space="0" w:color="auto"/>
              <w:right w:val="single" w:sz="4" w:space="0" w:color="auto"/>
            </w:tcBorders>
          </w:tcPr>
          <w:p w14:paraId="3B2857A9"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9.8</w:t>
            </w:r>
          </w:p>
        </w:tc>
        <w:tc>
          <w:tcPr>
            <w:tcW w:w="1180" w:type="dxa"/>
            <w:noWrap/>
          </w:tcPr>
          <w:p w14:paraId="15B7C452"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Sep</w:t>
            </w:r>
          </w:p>
        </w:tc>
      </w:tr>
      <w:tr w:rsidR="00D13A59" w:rsidRPr="007D5F85" w14:paraId="2F0FC824" w14:textId="77777777" w:rsidTr="00D923F0">
        <w:trPr>
          <w:trHeight w:val="261"/>
        </w:trPr>
        <w:tc>
          <w:tcPr>
            <w:tcW w:w="2330" w:type="dxa"/>
            <w:noWrap/>
            <w:hideMark/>
          </w:tcPr>
          <w:p w14:paraId="20DAAB2A"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CACI International</w:t>
            </w:r>
          </w:p>
        </w:tc>
        <w:tc>
          <w:tcPr>
            <w:tcW w:w="1180" w:type="dxa"/>
            <w:noWrap/>
            <w:hideMark/>
          </w:tcPr>
          <w:p w14:paraId="7FE540A6"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CACI</w:t>
            </w:r>
          </w:p>
        </w:tc>
        <w:tc>
          <w:tcPr>
            <w:tcW w:w="1370" w:type="dxa"/>
            <w:noWrap/>
            <w:hideMark/>
          </w:tcPr>
          <w:p w14:paraId="18EE0AB5"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Craig (2)</w:t>
            </w:r>
          </w:p>
        </w:tc>
        <w:tc>
          <w:tcPr>
            <w:tcW w:w="1500" w:type="dxa"/>
            <w:shd w:val="clear" w:color="auto" w:fill="auto"/>
            <w:noWrap/>
          </w:tcPr>
          <w:p w14:paraId="7F1D7287"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Buy 10sh</w:t>
            </w:r>
          </w:p>
        </w:tc>
        <w:tc>
          <w:tcPr>
            <w:tcW w:w="1440" w:type="dxa"/>
            <w:shd w:val="clear" w:color="auto" w:fill="auto"/>
            <w:noWrap/>
          </w:tcPr>
          <w:p w14:paraId="27BFAEC3"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7FA04348"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93</w:t>
            </w:r>
          </w:p>
        </w:tc>
        <w:tc>
          <w:tcPr>
            <w:tcW w:w="990" w:type="dxa"/>
            <w:tcBorders>
              <w:top w:val="single" w:sz="4" w:space="0" w:color="auto"/>
              <w:left w:val="single" w:sz="4" w:space="0" w:color="auto"/>
              <w:bottom w:val="single" w:sz="4" w:space="0" w:color="auto"/>
              <w:right w:val="single" w:sz="4" w:space="0" w:color="auto"/>
            </w:tcBorders>
          </w:tcPr>
          <w:p w14:paraId="42421632"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4.8</w:t>
            </w:r>
          </w:p>
        </w:tc>
        <w:tc>
          <w:tcPr>
            <w:tcW w:w="1180" w:type="dxa"/>
            <w:noWrap/>
          </w:tcPr>
          <w:p w14:paraId="7C5A4B83"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Jun</w:t>
            </w:r>
          </w:p>
        </w:tc>
      </w:tr>
      <w:tr w:rsidR="00D13A59" w:rsidRPr="007D5F85" w14:paraId="5C3D4FC7" w14:textId="77777777" w:rsidTr="00D923F0">
        <w:trPr>
          <w:trHeight w:val="287"/>
        </w:trPr>
        <w:tc>
          <w:tcPr>
            <w:tcW w:w="2330" w:type="dxa"/>
            <w:noWrap/>
            <w:hideMark/>
          </w:tcPr>
          <w:p w14:paraId="0B7DE81F"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 xml:space="preserve">C. H. Robinson </w:t>
            </w:r>
          </w:p>
        </w:tc>
        <w:tc>
          <w:tcPr>
            <w:tcW w:w="1180" w:type="dxa"/>
            <w:noWrap/>
            <w:hideMark/>
          </w:tcPr>
          <w:p w14:paraId="783E94F8"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CHRW</w:t>
            </w:r>
          </w:p>
        </w:tc>
        <w:tc>
          <w:tcPr>
            <w:tcW w:w="1370" w:type="dxa"/>
            <w:noWrap/>
            <w:hideMark/>
          </w:tcPr>
          <w:p w14:paraId="13E5F8A4" w14:textId="77777777" w:rsidR="00D13A59" w:rsidRPr="007D5F85" w:rsidRDefault="00D13A59" w:rsidP="00D923F0">
            <w:pPr>
              <w:tabs>
                <w:tab w:val="left" w:pos="885"/>
              </w:tabs>
              <w:rPr>
                <w:rFonts w:ascii="Times New Roman" w:eastAsia="Times New Roman" w:hAnsi="Times New Roman" w:cs="Times New Roman"/>
              </w:rPr>
            </w:pPr>
            <w:r w:rsidRPr="007D5F85">
              <w:rPr>
                <w:rFonts w:ascii="Times New Roman" w:eastAsia="Times New Roman" w:hAnsi="Times New Roman" w:cs="Times New Roman"/>
              </w:rPr>
              <w:t>Michele (2)</w:t>
            </w:r>
          </w:p>
        </w:tc>
        <w:tc>
          <w:tcPr>
            <w:tcW w:w="1500" w:type="dxa"/>
            <w:noWrap/>
          </w:tcPr>
          <w:p w14:paraId="78805982"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6EF6B753"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09E3E8F6"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15</w:t>
            </w:r>
          </w:p>
        </w:tc>
        <w:tc>
          <w:tcPr>
            <w:tcW w:w="990" w:type="dxa"/>
            <w:tcBorders>
              <w:top w:val="single" w:sz="4" w:space="0" w:color="auto"/>
              <w:left w:val="single" w:sz="4" w:space="0" w:color="auto"/>
              <w:bottom w:val="single" w:sz="4" w:space="0" w:color="auto"/>
              <w:right w:val="single" w:sz="4" w:space="0" w:color="auto"/>
            </w:tcBorders>
          </w:tcPr>
          <w:p w14:paraId="076CD7F3"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1.9</w:t>
            </w:r>
          </w:p>
        </w:tc>
        <w:tc>
          <w:tcPr>
            <w:tcW w:w="1180" w:type="dxa"/>
            <w:noWrap/>
          </w:tcPr>
          <w:p w14:paraId="75A529B1"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3BF1E2D6" w14:textId="77777777" w:rsidTr="00D923F0">
        <w:trPr>
          <w:trHeight w:val="261"/>
        </w:trPr>
        <w:tc>
          <w:tcPr>
            <w:tcW w:w="2330" w:type="dxa"/>
            <w:noWrap/>
          </w:tcPr>
          <w:p w14:paraId="372A7576"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Charles Schwab</w:t>
            </w:r>
          </w:p>
        </w:tc>
        <w:tc>
          <w:tcPr>
            <w:tcW w:w="1180" w:type="dxa"/>
            <w:noWrap/>
          </w:tcPr>
          <w:p w14:paraId="72E9067B"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SCHW</w:t>
            </w:r>
          </w:p>
        </w:tc>
        <w:tc>
          <w:tcPr>
            <w:tcW w:w="1370" w:type="dxa"/>
            <w:noWrap/>
          </w:tcPr>
          <w:p w14:paraId="70AA9BFC"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Craig (2)</w:t>
            </w:r>
          </w:p>
        </w:tc>
        <w:tc>
          <w:tcPr>
            <w:tcW w:w="1500" w:type="dxa"/>
            <w:noWrap/>
          </w:tcPr>
          <w:p w14:paraId="5C2F03C3"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12B03B5D"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SELL</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0DE22B5E"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360</w:t>
            </w:r>
          </w:p>
        </w:tc>
        <w:tc>
          <w:tcPr>
            <w:tcW w:w="990" w:type="dxa"/>
            <w:tcBorders>
              <w:top w:val="single" w:sz="4" w:space="0" w:color="auto"/>
              <w:left w:val="single" w:sz="4" w:space="0" w:color="auto"/>
              <w:bottom w:val="single" w:sz="4" w:space="0" w:color="auto"/>
              <w:right w:val="single" w:sz="4" w:space="0" w:color="auto"/>
            </w:tcBorders>
          </w:tcPr>
          <w:p w14:paraId="38A65AB0"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11.3</w:t>
            </w:r>
          </w:p>
        </w:tc>
        <w:tc>
          <w:tcPr>
            <w:tcW w:w="1180" w:type="dxa"/>
            <w:noWrap/>
          </w:tcPr>
          <w:p w14:paraId="60F1EBDA"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29065478" w14:textId="77777777" w:rsidTr="00D923F0">
        <w:trPr>
          <w:trHeight w:val="260"/>
        </w:trPr>
        <w:tc>
          <w:tcPr>
            <w:tcW w:w="2330" w:type="dxa"/>
            <w:noWrap/>
            <w:hideMark/>
          </w:tcPr>
          <w:p w14:paraId="49980103"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Danaher</w:t>
            </w:r>
          </w:p>
        </w:tc>
        <w:tc>
          <w:tcPr>
            <w:tcW w:w="1180" w:type="dxa"/>
            <w:noWrap/>
            <w:hideMark/>
          </w:tcPr>
          <w:p w14:paraId="676B9EB0"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DHR</w:t>
            </w:r>
          </w:p>
        </w:tc>
        <w:tc>
          <w:tcPr>
            <w:tcW w:w="1370" w:type="dxa"/>
            <w:noWrap/>
            <w:hideMark/>
          </w:tcPr>
          <w:p w14:paraId="26B3B489"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Harrison</w:t>
            </w:r>
          </w:p>
        </w:tc>
        <w:tc>
          <w:tcPr>
            <w:tcW w:w="1500" w:type="dxa"/>
            <w:noWrap/>
          </w:tcPr>
          <w:p w14:paraId="5721A324"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407C7ED5"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031A9AA8"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90</w:t>
            </w:r>
          </w:p>
        </w:tc>
        <w:tc>
          <w:tcPr>
            <w:tcW w:w="990" w:type="dxa"/>
            <w:tcBorders>
              <w:top w:val="single" w:sz="4" w:space="0" w:color="auto"/>
              <w:left w:val="single" w:sz="4" w:space="0" w:color="auto"/>
              <w:bottom w:val="single" w:sz="4" w:space="0" w:color="auto"/>
              <w:right w:val="single" w:sz="4" w:space="0" w:color="auto"/>
            </w:tcBorders>
          </w:tcPr>
          <w:p w14:paraId="2EABDA60"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11.7</w:t>
            </w:r>
          </w:p>
        </w:tc>
        <w:tc>
          <w:tcPr>
            <w:tcW w:w="1180" w:type="dxa"/>
            <w:noWrap/>
          </w:tcPr>
          <w:p w14:paraId="11E56953"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0BF9054D" w14:textId="77777777" w:rsidTr="00D923F0">
        <w:trPr>
          <w:trHeight w:val="261"/>
        </w:trPr>
        <w:tc>
          <w:tcPr>
            <w:tcW w:w="2330" w:type="dxa"/>
            <w:noWrap/>
            <w:hideMark/>
          </w:tcPr>
          <w:p w14:paraId="72E345B9"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Fastenal</w:t>
            </w:r>
          </w:p>
        </w:tc>
        <w:tc>
          <w:tcPr>
            <w:tcW w:w="1180" w:type="dxa"/>
            <w:noWrap/>
            <w:hideMark/>
          </w:tcPr>
          <w:p w14:paraId="13F6CB03"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FAST</w:t>
            </w:r>
          </w:p>
        </w:tc>
        <w:tc>
          <w:tcPr>
            <w:tcW w:w="1370" w:type="dxa"/>
            <w:noWrap/>
            <w:hideMark/>
          </w:tcPr>
          <w:p w14:paraId="7DD6EEDA"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Rich (1)</w:t>
            </w:r>
          </w:p>
        </w:tc>
        <w:tc>
          <w:tcPr>
            <w:tcW w:w="1500" w:type="dxa"/>
            <w:noWrap/>
          </w:tcPr>
          <w:p w14:paraId="39962D50"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51552350"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A389851"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400</w:t>
            </w:r>
          </w:p>
        </w:tc>
        <w:tc>
          <w:tcPr>
            <w:tcW w:w="990" w:type="dxa"/>
            <w:tcBorders>
              <w:top w:val="single" w:sz="4" w:space="0" w:color="auto"/>
              <w:left w:val="single" w:sz="4" w:space="0" w:color="auto"/>
              <w:bottom w:val="single" w:sz="4" w:space="0" w:color="auto"/>
              <w:right w:val="single" w:sz="4" w:space="0" w:color="auto"/>
            </w:tcBorders>
          </w:tcPr>
          <w:p w14:paraId="7838369C"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10.8</w:t>
            </w:r>
          </w:p>
        </w:tc>
        <w:tc>
          <w:tcPr>
            <w:tcW w:w="1180" w:type="dxa"/>
            <w:noWrap/>
          </w:tcPr>
          <w:p w14:paraId="1F94010D"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2C2E29EB" w14:textId="77777777" w:rsidTr="00D923F0">
        <w:trPr>
          <w:trHeight w:val="261"/>
        </w:trPr>
        <w:tc>
          <w:tcPr>
            <w:tcW w:w="2330" w:type="dxa"/>
            <w:noWrap/>
            <w:vAlign w:val="center"/>
          </w:tcPr>
          <w:p w14:paraId="6B4D0993"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Fidelity Select Healthcare</w:t>
            </w:r>
          </w:p>
        </w:tc>
        <w:tc>
          <w:tcPr>
            <w:tcW w:w="1180" w:type="dxa"/>
            <w:noWrap/>
            <w:vAlign w:val="center"/>
          </w:tcPr>
          <w:p w14:paraId="05754BDC"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FSPHX</w:t>
            </w:r>
          </w:p>
        </w:tc>
        <w:tc>
          <w:tcPr>
            <w:tcW w:w="1370" w:type="dxa"/>
            <w:noWrap/>
            <w:vAlign w:val="center"/>
          </w:tcPr>
          <w:p w14:paraId="7FEBE958"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Nelson (2)</w:t>
            </w:r>
          </w:p>
        </w:tc>
        <w:tc>
          <w:tcPr>
            <w:tcW w:w="1500" w:type="dxa"/>
            <w:noWrap/>
          </w:tcPr>
          <w:p w14:paraId="1863DE8A"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4A5D1A7D"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70CE1CC0"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159.789</w:t>
            </w:r>
          </w:p>
        </w:tc>
        <w:tc>
          <w:tcPr>
            <w:tcW w:w="990" w:type="dxa"/>
            <w:tcBorders>
              <w:top w:val="single" w:sz="4" w:space="0" w:color="auto"/>
              <w:left w:val="single" w:sz="4" w:space="0" w:color="auto"/>
              <w:bottom w:val="single" w:sz="4" w:space="0" w:color="auto"/>
              <w:right w:val="single" w:sz="4" w:space="0" w:color="auto"/>
            </w:tcBorders>
            <w:vAlign w:val="center"/>
          </w:tcPr>
          <w:p w14:paraId="2E31EECF"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2.8</w:t>
            </w:r>
          </w:p>
        </w:tc>
        <w:tc>
          <w:tcPr>
            <w:tcW w:w="1180" w:type="dxa"/>
            <w:noWrap/>
            <w:vAlign w:val="center"/>
          </w:tcPr>
          <w:p w14:paraId="4CA334D2"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w:t>
            </w:r>
          </w:p>
        </w:tc>
      </w:tr>
      <w:tr w:rsidR="00D13A59" w:rsidRPr="007D5F85" w14:paraId="7A4505FA" w14:textId="77777777" w:rsidTr="00D923F0">
        <w:trPr>
          <w:trHeight w:val="261"/>
        </w:trPr>
        <w:tc>
          <w:tcPr>
            <w:tcW w:w="2330" w:type="dxa"/>
            <w:noWrap/>
            <w:vAlign w:val="center"/>
          </w:tcPr>
          <w:p w14:paraId="020AD6BF" w14:textId="77777777" w:rsidR="00D13A59" w:rsidRPr="007D5F85" w:rsidRDefault="00D13A59" w:rsidP="00D923F0">
            <w:pPr>
              <w:rPr>
                <w:rFonts w:ascii="Times New Roman" w:eastAsia="Times New Roman" w:hAnsi="Times New Roman" w:cs="Times New Roman"/>
              </w:rPr>
            </w:pPr>
            <w:proofErr w:type="spellStart"/>
            <w:r w:rsidRPr="007D5F85">
              <w:rPr>
                <w:rFonts w:ascii="Times New Roman" w:eastAsia="Times New Roman" w:hAnsi="Times New Roman" w:cs="Times New Roman"/>
              </w:rPr>
              <w:lastRenderedPageBreak/>
              <w:t>IRobot</w:t>
            </w:r>
            <w:proofErr w:type="spellEnd"/>
          </w:p>
        </w:tc>
        <w:tc>
          <w:tcPr>
            <w:tcW w:w="1180" w:type="dxa"/>
            <w:noWrap/>
            <w:vAlign w:val="center"/>
          </w:tcPr>
          <w:p w14:paraId="74DCFD9A"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IRBT</w:t>
            </w:r>
          </w:p>
        </w:tc>
        <w:tc>
          <w:tcPr>
            <w:tcW w:w="1370" w:type="dxa"/>
            <w:noWrap/>
            <w:vAlign w:val="center"/>
          </w:tcPr>
          <w:p w14:paraId="5CFA0132"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Bill</w:t>
            </w:r>
          </w:p>
        </w:tc>
        <w:tc>
          <w:tcPr>
            <w:tcW w:w="1500" w:type="dxa"/>
            <w:noWrap/>
          </w:tcPr>
          <w:p w14:paraId="7E0CBC7E"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BUY 10sh</w:t>
            </w:r>
          </w:p>
        </w:tc>
        <w:tc>
          <w:tcPr>
            <w:tcW w:w="1440" w:type="dxa"/>
            <w:noWrap/>
          </w:tcPr>
          <w:p w14:paraId="49A82C1A"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53B0C4E0"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75</w:t>
            </w:r>
          </w:p>
        </w:tc>
        <w:tc>
          <w:tcPr>
            <w:tcW w:w="990" w:type="dxa"/>
            <w:tcBorders>
              <w:top w:val="single" w:sz="4" w:space="0" w:color="auto"/>
              <w:left w:val="single" w:sz="4" w:space="0" w:color="auto"/>
              <w:bottom w:val="single" w:sz="4" w:space="0" w:color="auto"/>
              <w:right w:val="single" w:sz="4" w:space="0" w:color="auto"/>
            </w:tcBorders>
            <w:vAlign w:val="center"/>
          </w:tcPr>
          <w:p w14:paraId="3F7DA0A3"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3.4</w:t>
            </w:r>
          </w:p>
        </w:tc>
        <w:tc>
          <w:tcPr>
            <w:tcW w:w="1180" w:type="dxa"/>
            <w:noWrap/>
            <w:vAlign w:val="center"/>
          </w:tcPr>
          <w:p w14:paraId="51887032"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79E0C89E" w14:textId="77777777" w:rsidTr="00D923F0">
        <w:trPr>
          <w:trHeight w:val="261"/>
        </w:trPr>
        <w:tc>
          <w:tcPr>
            <w:tcW w:w="2330" w:type="dxa"/>
            <w:noWrap/>
            <w:vAlign w:val="center"/>
          </w:tcPr>
          <w:p w14:paraId="45034387"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Illumina</w:t>
            </w:r>
          </w:p>
        </w:tc>
        <w:tc>
          <w:tcPr>
            <w:tcW w:w="1180" w:type="dxa"/>
            <w:noWrap/>
            <w:vAlign w:val="center"/>
          </w:tcPr>
          <w:p w14:paraId="294267B0"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ILMN</w:t>
            </w:r>
          </w:p>
        </w:tc>
        <w:tc>
          <w:tcPr>
            <w:tcW w:w="1370" w:type="dxa"/>
            <w:noWrap/>
            <w:vAlign w:val="center"/>
          </w:tcPr>
          <w:p w14:paraId="73909603"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Dene (1)</w:t>
            </w:r>
          </w:p>
        </w:tc>
        <w:tc>
          <w:tcPr>
            <w:tcW w:w="1500" w:type="dxa"/>
            <w:noWrap/>
          </w:tcPr>
          <w:p w14:paraId="0CD7F172"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53565BBC"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SELL</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330A136A"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15</w:t>
            </w:r>
          </w:p>
        </w:tc>
        <w:tc>
          <w:tcPr>
            <w:tcW w:w="990" w:type="dxa"/>
            <w:tcBorders>
              <w:top w:val="single" w:sz="4" w:space="0" w:color="auto"/>
              <w:left w:val="single" w:sz="4" w:space="0" w:color="auto"/>
              <w:bottom w:val="single" w:sz="4" w:space="0" w:color="auto"/>
              <w:right w:val="single" w:sz="4" w:space="0" w:color="auto"/>
            </w:tcBorders>
            <w:vAlign w:val="center"/>
          </w:tcPr>
          <w:p w14:paraId="2497945D"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3.0</w:t>
            </w:r>
          </w:p>
        </w:tc>
        <w:tc>
          <w:tcPr>
            <w:tcW w:w="1180" w:type="dxa"/>
            <w:noWrap/>
            <w:vAlign w:val="center"/>
          </w:tcPr>
          <w:p w14:paraId="662378DE"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7B613C85" w14:textId="77777777" w:rsidTr="00D923F0">
        <w:trPr>
          <w:trHeight w:val="261"/>
        </w:trPr>
        <w:tc>
          <w:tcPr>
            <w:tcW w:w="2330" w:type="dxa"/>
            <w:noWrap/>
            <w:hideMark/>
          </w:tcPr>
          <w:p w14:paraId="3F7D4BC9"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 xml:space="preserve">LKQ Corp </w:t>
            </w:r>
          </w:p>
        </w:tc>
        <w:tc>
          <w:tcPr>
            <w:tcW w:w="1180" w:type="dxa"/>
            <w:noWrap/>
            <w:hideMark/>
          </w:tcPr>
          <w:p w14:paraId="44D1378F"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LKQ</w:t>
            </w:r>
          </w:p>
        </w:tc>
        <w:tc>
          <w:tcPr>
            <w:tcW w:w="1370" w:type="dxa"/>
            <w:noWrap/>
            <w:hideMark/>
          </w:tcPr>
          <w:p w14:paraId="294D451D"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Michele (2)</w:t>
            </w:r>
          </w:p>
        </w:tc>
        <w:tc>
          <w:tcPr>
            <w:tcW w:w="1500" w:type="dxa"/>
            <w:noWrap/>
          </w:tcPr>
          <w:p w14:paraId="14612D0C"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6F09F215" w14:textId="77777777" w:rsidR="00D13A59" w:rsidRPr="007D5F85" w:rsidRDefault="00D13A59" w:rsidP="00D923F0">
            <w:pPr>
              <w:tabs>
                <w:tab w:val="center" w:pos="612"/>
              </w:tabs>
              <w:rPr>
                <w:rFonts w:ascii="Times New Roman" w:hAnsi="Times New Roman" w:cs="Times New Roman"/>
              </w:rPr>
            </w:pPr>
            <w:r w:rsidRPr="007D5F85">
              <w:rPr>
                <w:rFonts w:ascii="Times New Roman" w:hAnsi="Times New Roman" w:cs="Times New Roman"/>
              </w:rPr>
              <w:tab/>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6B990FD4"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400</w:t>
            </w:r>
          </w:p>
        </w:tc>
        <w:tc>
          <w:tcPr>
            <w:tcW w:w="990" w:type="dxa"/>
            <w:tcBorders>
              <w:top w:val="single" w:sz="4" w:space="0" w:color="auto"/>
              <w:left w:val="single" w:sz="4" w:space="0" w:color="auto"/>
              <w:bottom w:val="single" w:sz="4" w:space="0" w:color="auto"/>
              <w:right w:val="single" w:sz="4" w:space="0" w:color="auto"/>
            </w:tcBorders>
          </w:tcPr>
          <w:p w14:paraId="6A013020"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8.2</w:t>
            </w:r>
          </w:p>
        </w:tc>
        <w:tc>
          <w:tcPr>
            <w:tcW w:w="1180" w:type="dxa"/>
            <w:noWrap/>
          </w:tcPr>
          <w:p w14:paraId="4AA01C0F"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010A5330" w14:textId="77777777" w:rsidTr="00D923F0">
        <w:trPr>
          <w:trHeight w:val="261"/>
        </w:trPr>
        <w:tc>
          <w:tcPr>
            <w:tcW w:w="2330" w:type="dxa"/>
            <w:noWrap/>
          </w:tcPr>
          <w:p w14:paraId="5C5BA8AF"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Mercury Systems</w:t>
            </w:r>
          </w:p>
        </w:tc>
        <w:tc>
          <w:tcPr>
            <w:tcW w:w="1180" w:type="dxa"/>
            <w:noWrap/>
          </w:tcPr>
          <w:p w14:paraId="436330D8"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MRCY</w:t>
            </w:r>
          </w:p>
        </w:tc>
        <w:tc>
          <w:tcPr>
            <w:tcW w:w="1370" w:type="dxa"/>
            <w:noWrap/>
          </w:tcPr>
          <w:p w14:paraId="4F559E31"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Roger</w:t>
            </w:r>
          </w:p>
        </w:tc>
        <w:tc>
          <w:tcPr>
            <w:tcW w:w="1500" w:type="dxa"/>
            <w:noWrap/>
          </w:tcPr>
          <w:p w14:paraId="22A2A1D5"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noWrap/>
          </w:tcPr>
          <w:p w14:paraId="54272EA9" w14:textId="77777777" w:rsidR="00D13A59" w:rsidRPr="007D5F85" w:rsidRDefault="00D13A59" w:rsidP="00D923F0">
            <w:pPr>
              <w:tabs>
                <w:tab w:val="center" w:pos="612"/>
              </w:tabs>
              <w:rPr>
                <w:rFonts w:ascii="Times New Roman" w:hAnsi="Times New Roman" w:cs="Times New Roman"/>
              </w:rPr>
            </w:pPr>
            <w:r w:rsidRPr="007D5F85">
              <w:rPr>
                <w:rFonts w:ascii="Times New Roman" w:hAnsi="Times New Roman" w:cs="Times New Roman"/>
              </w:rPr>
              <w:tab/>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7E35F1C4"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15</w:t>
            </w:r>
          </w:p>
        </w:tc>
        <w:tc>
          <w:tcPr>
            <w:tcW w:w="990" w:type="dxa"/>
            <w:tcBorders>
              <w:top w:val="single" w:sz="4" w:space="0" w:color="auto"/>
              <w:left w:val="single" w:sz="4" w:space="0" w:color="auto"/>
              <w:bottom w:val="single" w:sz="4" w:space="0" w:color="auto"/>
              <w:right w:val="single" w:sz="4" w:space="0" w:color="auto"/>
            </w:tcBorders>
          </w:tcPr>
          <w:p w14:paraId="7688ED60"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0.6</w:t>
            </w:r>
          </w:p>
        </w:tc>
        <w:tc>
          <w:tcPr>
            <w:tcW w:w="1180" w:type="dxa"/>
            <w:noWrap/>
          </w:tcPr>
          <w:p w14:paraId="7E0781C5"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4EFF7A97" w14:textId="77777777" w:rsidTr="00D923F0">
        <w:trPr>
          <w:trHeight w:val="261"/>
        </w:trPr>
        <w:tc>
          <w:tcPr>
            <w:tcW w:w="2330" w:type="dxa"/>
            <w:noWrap/>
          </w:tcPr>
          <w:p w14:paraId="04260C38"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Starbucks</w:t>
            </w:r>
          </w:p>
        </w:tc>
        <w:tc>
          <w:tcPr>
            <w:tcW w:w="1180" w:type="dxa"/>
            <w:noWrap/>
          </w:tcPr>
          <w:p w14:paraId="42AF612A"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SBUX</w:t>
            </w:r>
          </w:p>
        </w:tc>
        <w:tc>
          <w:tcPr>
            <w:tcW w:w="1370" w:type="dxa"/>
            <w:noWrap/>
          </w:tcPr>
          <w:p w14:paraId="5D2F5CA9"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Gene (2)</w:t>
            </w:r>
          </w:p>
        </w:tc>
        <w:tc>
          <w:tcPr>
            <w:tcW w:w="1500" w:type="dxa"/>
          </w:tcPr>
          <w:p w14:paraId="7D029628"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tcPr>
          <w:p w14:paraId="674789C5" w14:textId="77777777" w:rsidR="00D13A59" w:rsidRPr="007D5F85" w:rsidRDefault="00D13A59" w:rsidP="00D923F0">
            <w:pPr>
              <w:tabs>
                <w:tab w:val="center" w:pos="612"/>
              </w:tabs>
              <w:rPr>
                <w:rFonts w:ascii="Times New Roman" w:hAnsi="Times New Roman" w:cs="Times New Roman"/>
              </w:rPr>
            </w:pPr>
            <w:r w:rsidRPr="007D5F85">
              <w:rPr>
                <w:rFonts w:ascii="Times New Roman" w:hAnsi="Times New Roman" w:cs="Times New Roman"/>
              </w:rPr>
              <w:tab/>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3E7D338B"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80</w:t>
            </w:r>
          </w:p>
        </w:tc>
        <w:tc>
          <w:tcPr>
            <w:tcW w:w="990" w:type="dxa"/>
            <w:tcBorders>
              <w:top w:val="single" w:sz="4" w:space="0" w:color="auto"/>
              <w:left w:val="single" w:sz="4" w:space="0" w:color="auto"/>
              <w:bottom w:val="single" w:sz="4" w:space="0" w:color="auto"/>
              <w:right w:val="single" w:sz="4" w:space="0" w:color="auto"/>
            </w:tcBorders>
            <w:noWrap/>
          </w:tcPr>
          <w:p w14:paraId="642F2154"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4.5</w:t>
            </w:r>
          </w:p>
        </w:tc>
        <w:tc>
          <w:tcPr>
            <w:tcW w:w="1180" w:type="dxa"/>
            <w:noWrap/>
          </w:tcPr>
          <w:p w14:paraId="7F1E7871"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Sep</w:t>
            </w:r>
          </w:p>
        </w:tc>
      </w:tr>
      <w:tr w:rsidR="00D13A59" w:rsidRPr="007D5F85" w14:paraId="375CC6AB" w14:textId="77777777" w:rsidTr="00D923F0">
        <w:trPr>
          <w:trHeight w:val="261"/>
        </w:trPr>
        <w:tc>
          <w:tcPr>
            <w:tcW w:w="2330" w:type="dxa"/>
            <w:noWrap/>
          </w:tcPr>
          <w:p w14:paraId="3A0ED04B"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Tractor Supply</w:t>
            </w:r>
          </w:p>
        </w:tc>
        <w:tc>
          <w:tcPr>
            <w:tcW w:w="1180" w:type="dxa"/>
            <w:noWrap/>
          </w:tcPr>
          <w:p w14:paraId="65599420"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TSCO</w:t>
            </w:r>
          </w:p>
        </w:tc>
        <w:tc>
          <w:tcPr>
            <w:tcW w:w="1370" w:type="dxa"/>
            <w:noWrap/>
          </w:tcPr>
          <w:p w14:paraId="38948962"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Gregg</w:t>
            </w:r>
          </w:p>
        </w:tc>
        <w:tc>
          <w:tcPr>
            <w:tcW w:w="1500" w:type="dxa"/>
          </w:tcPr>
          <w:p w14:paraId="356754CF"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tcPr>
          <w:p w14:paraId="582D6BBB"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618AB94D"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145</w:t>
            </w:r>
          </w:p>
        </w:tc>
        <w:tc>
          <w:tcPr>
            <w:tcW w:w="990" w:type="dxa"/>
            <w:tcBorders>
              <w:top w:val="single" w:sz="4" w:space="0" w:color="auto"/>
              <w:left w:val="single" w:sz="4" w:space="0" w:color="auto"/>
              <w:bottom w:val="single" w:sz="4" w:space="0" w:color="auto"/>
              <w:right w:val="single" w:sz="4" w:space="0" w:color="auto"/>
            </w:tcBorders>
            <w:noWrap/>
          </w:tcPr>
          <w:p w14:paraId="21F3AD0B"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11.5</w:t>
            </w:r>
          </w:p>
        </w:tc>
        <w:tc>
          <w:tcPr>
            <w:tcW w:w="1180" w:type="dxa"/>
            <w:noWrap/>
          </w:tcPr>
          <w:p w14:paraId="1C425252"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r w:rsidR="00D13A59" w:rsidRPr="007D5F85" w14:paraId="4FDE5D3B" w14:textId="77777777" w:rsidTr="00D923F0">
        <w:trPr>
          <w:trHeight w:val="261"/>
        </w:trPr>
        <w:tc>
          <w:tcPr>
            <w:tcW w:w="2330" w:type="dxa"/>
            <w:noWrap/>
          </w:tcPr>
          <w:p w14:paraId="7D3E4E68" w14:textId="77777777" w:rsidR="00D13A59" w:rsidRPr="007D5F85" w:rsidRDefault="00D13A59" w:rsidP="00D923F0">
            <w:pPr>
              <w:rPr>
                <w:rFonts w:ascii="Times New Roman" w:eastAsia="Times New Roman" w:hAnsi="Times New Roman" w:cs="Times New Roman"/>
              </w:rPr>
            </w:pPr>
            <w:proofErr w:type="spellStart"/>
            <w:r w:rsidRPr="007D5F85">
              <w:rPr>
                <w:rFonts w:ascii="Times New Roman" w:eastAsia="Times New Roman" w:hAnsi="Times New Roman" w:cs="Times New Roman"/>
              </w:rPr>
              <w:t>Ulta</w:t>
            </w:r>
            <w:proofErr w:type="spellEnd"/>
            <w:r w:rsidRPr="007D5F85">
              <w:rPr>
                <w:rFonts w:ascii="Times New Roman" w:eastAsia="Times New Roman" w:hAnsi="Times New Roman" w:cs="Times New Roman"/>
              </w:rPr>
              <w:t xml:space="preserve"> Beauty</w:t>
            </w:r>
          </w:p>
        </w:tc>
        <w:tc>
          <w:tcPr>
            <w:tcW w:w="1180" w:type="dxa"/>
            <w:noWrap/>
          </w:tcPr>
          <w:p w14:paraId="5A52E623"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ULTA</w:t>
            </w:r>
          </w:p>
        </w:tc>
        <w:tc>
          <w:tcPr>
            <w:tcW w:w="1370" w:type="dxa"/>
            <w:noWrap/>
          </w:tcPr>
          <w:p w14:paraId="3953BE62"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Kate (1)</w:t>
            </w:r>
          </w:p>
        </w:tc>
        <w:tc>
          <w:tcPr>
            <w:tcW w:w="1500" w:type="dxa"/>
            <w:shd w:val="clear" w:color="auto" w:fill="auto"/>
          </w:tcPr>
          <w:p w14:paraId="5CBB7E21"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shd w:val="clear" w:color="auto" w:fill="auto"/>
          </w:tcPr>
          <w:p w14:paraId="1FE2B199" w14:textId="77777777" w:rsidR="00D13A59" w:rsidRPr="007D5F85" w:rsidRDefault="00D13A59" w:rsidP="00D923F0">
            <w:pPr>
              <w:tabs>
                <w:tab w:val="center" w:pos="612"/>
              </w:tabs>
              <w:rPr>
                <w:rFonts w:ascii="Times New Roman" w:hAnsi="Times New Roman" w:cs="Times New Roman"/>
              </w:rPr>
            </w:pPr>
            <w:r w:rsidRPr="007D5F85">
              <w:rPr>
                <w:rFonts w:ascii="Times New Roman" w:hAnsi="Times New Roman" w:cs="Times New Roman"/>
              </w:rPr>
              <w:tab/>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56C40CDA"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30</w:t>
            </w:r>
          </w:p>
        </w:tc>
        <w:tc>
          <w:tcPr>
            <w:tcW w:w="990" w:type="dxa"/>
            <w:tcBorders>
              <w:top w:val="single" w:sz="4" w:space="0" w:color="auto"/>
              <w:left w:val="single" w:sz="4" w:space="0" w:color="auto"/>
              <w:bottom w:val="single" w:sz="4" w:space="0" w:color="auto"/>
              <w:right w:val="single" w:sz="4" w:space="0" w:color="auto"/>
            </w:tcBorders>
            <w:noWrap/>
          </w:tcPr>
          <w:p w14:paraId="3A2DF1F8"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4.7</w:t>
            </w:r>
          </w:p>
        </w:tc>
        <w:tc>
          <w:tcPr>
            <w:tcW w:w="1180" w:type="dxa"/>
            <w:noWrap/>
          </w:tcPr>
          <w:p w14:paraId="0FA88AB8"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Jan</w:t>
            </w:r>
          </w:p>
        </w:tc>
      </w:tr>
      <w:tr w:rsidR="00D13A59" w:rsidRPr="007D5F85" w14:paraId="7D54FA9D" w14:textId="77777777" w:rsidTr="00D923F0">
        <w:trPr>
          <w:trHeight w:val="261"/>
        </w:trPr>
        <w:tc>
          <w:tcPr>
            <w:tcW w:w="2330" w:type="dxa"/>
            <w:noWrap/>
            <w:vAlign w:val="center"/>
          </w:tcPr>
          <w:p w14:paraId="20AB769A"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Visa</w:t>
            </w:r>
          </w:p>
        </w:tc>
        <w:tc>
          <w:tcPr>
            <w:tcW w:w="1180" w:type="dxa"/>
            <w:noWrap/>
            <w:vAlign w:val="center"/>
          </w:tcPr>
          <w:p w14:paraId="6CF1C770"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V</w:t>
            </w:r>
          </w:p>
        </w:tc>
        <w:tc>
          <w:tcPr>
            <w:tcW w:w="1370" w:type="dxa"/>
            <w:noWrap/>
            <w:vAlign w:val="center"/>
          </w:tcPr>
          <w:p w14:paraId="127CF732" w14:textId="77777777" w:rsidR="00D13A59" w:rsidRPr="007D5F85" w:rsidRDefault="00D13A59" w:rsidP="00D923F0">
            <w:pPr>
              <w:rPr>
                <w:rFonts w:ascii="Times New Roman" w:eastAsia="Times New Roman" w:hAnsi="Times New Roman" w:cs="Times New Roman"/>
              </w:rPr>
            </w:pPr>
            <w:r w:rsidRPr="007D5F85">
              <w:rPr>
                <w:rFonts w:ascii="Times New Roman" w:eastAsia="Times New Roman" w:hAnsi="Times New Roman" w:cs="Times New Roman"/>
              </w:rPr>
              <w:t>Gene (2)</w:t>
            </w:r>
          </w:p>
        </w:tc>
        <w:tc>
          <w:tcPr>
            <w:tcW w:w="1500" w:type="dxa"/>
            <w:shd w:val="clear" w:color="auto" w:fill="auto"/>
          </w:tcPr>
          <w:p w14:paraId="5F23F508"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HOLD</w:t>
            </w:r>
          </w:p>
        </w:tc>
        <w:tc>
          <w:tcPr>
            <w:tcW w:w="1440" w:type="dxa"/>
            <w:shd w:val="clear" w:color="auto" w:fill="auto"/>
          </w:tcPr>
          <w:p w14:paraId="017C12C5" w14:textId="77777777" w:rsidR="00D13A59" w:rsidRPr="007D5F85" w:rsidRDefault="00D13A59" w:rsidP="00D923F0">
            <w:pPr>
              <w:tabs>
                <w:tab w:val="center" w:pos="612"/>
              </w:tabs>
              <w:rPr>
                <w:rFonts w:ascii="Times New Roman" w:hAnsi="Times New Roman" w:cs="Times New Roman"/>
              </w:rPr>
            </w:pPr>
            <w:r w:rsidRPr="007D5F85">
              <w:rPr>
                <w:rFonts w:ascii="Times New Roman" w:hAnsi="Times New Roman" w:cs="Times New Roman"/>
              </w:rPr>
              <w:tab/>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0FE8C166" w14:textId="77777777" w:rsidR="00D13A59" w:rsidRPr="007D5F85" w:rsidRDefault="00D13A59" w:rsidP="00D923F0">
            <w:pPr>
              <w:jc w:val="center"/>
              <w:rPr>
                <w:rFonts w:ascii="Times New Roman" w:hAnsi="Times New Roman" w:cs="Times New Roman"/>
              </w:rPr>
            </w:pPr>
            <w:r w:rsidRPr="007D5F85">
              <w:rPr>
                <w:rFonts w:ascii="Times New Roman" w:hAnsi="Times New Roman" w:cs="Times New Roman"/>
              </w:rPr>
              <w:t>10</w:t>
            </w:r>
          </w:p>
        </w:tc>
        <w:tc>
          <w:tcPr>
            <w:tcW w:w="990" w:type="dxa"/>
            <w:tcBorders>
              <w:top w:val="single" w:sz="4" w:space="0" w:color="auto"/>
              <w:left w:val="single" w:sz="4" w:space="0" w:color="auto"/>
              <w:bottom w:val="single" w:sz="4" w:space="0" w:color="auto"/>
              <w:right w:val="single" w:sz="4" w:space="0" w:color="auto"/>
            </w:tcBorders>
            <w:noWrap/>
            <w:vAlign w:val="center"/>
          </w:tcPr>
          <w:p w14:paraId="6F501183"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1.1</w:t>
            </w:r>
          </w:p>
        </w:tc>
        <w:tc>
          <w:tcPr>
            <w:tcW w:w="1180" w:type="dxa"/>
            <w:noWrap/>
            <w:vAlign w:val="center"/>
          </w:tcPr>
          <w:p w14:paraId="6DBCC16A" w14:textId="77777777" w:rsidR="00D13A59" w:rsidRPr="007D5F85" w:rsidRDefault="00D13A59" w:rsidP="00D923F0">
            <w:pPr>
              <w:jc w:val="center"/>
              <w:rPr>
                <w:rFonts w:ascii="Times New Roman" w:eastAsia="Times New Roman" w:hAnsi="Times New Roman" w:cs="Times New Roman"/>
              </w:rPr>
            </w:pPr>
            <w:r w:rsidRPr="007D5F85">
              <w:rPr>
                <w:rFonts w:ascii="Times New Roman" w:eastAsia="Times New Roman" w:hAnsi="Times New Roman" w:cs="Times New Roman"/>
              </w:rPr>
              <w:t>Dec</w:t>
            </w:r>
          </w:p>
        </w:tc>
      </w:tr>
    </w:tbl>
    <w:p w14:paraId="401F43A9" w14:textId="77777777" w:rsidR="00D13A59" w:rsidRPr="007D5F85" w:rsidRDefault="00D13A59" w:rsidP="00D13A59">
      <w:pPr>
        <w:spacing w:after="0"/>
        <w:rPr>
          <w:rFonts w:ascii="Times New Roman" w:eastAsia="Times New Roman" w:hAnsi="Times New Roman"/>
        </w:rPr>
      </w:pPr>
    </w:p>
    <w:p w14:paraId="0A737028" w14:textId="77777777" w:rsidR="00D13A59" w:rsidRPr="007D5F85" w:rsidRDefault="00D13A59" w:rsidP="00D13A59">
      <w:pPr>
        <w:spacing w:after="0"/>
        <w:jc w:val="center"/>
        <w:rPr>
          <w:rFonts w:ascii="Times New Roman" w:eastAsia="Times New Roman" w:hAnsi="Times New Roman"/>
        </w:rPr>
      </w:pPr>
      <w:r w:rsidRPr="007D5F85">
        <w:rPr>
          <w:rFonts w:ascii="Times New Roman" w:eastAsia="Times New Roman" w:hAnsi="Times New Roman"/>
        </w:rPr>
        <w:t>Future meetings:    Mid-Month Portfolio/Stock Committee: Feb 6, 2021, online; Regular meeting: Feb 20, 2021, online</w:t>
      </w:r>
    </w:p>
    <w:p w14:paraId="09A26622" w14:textId="41B6653F" w:rsidR="00D13A59" w:rsidRPr="007D5F85" w:rsidRDefault="00D13A59" w:rsidP="00C06550">
      <w:pPr>
        <w:jc w:val="center"/>
        <w:rPr>
          <w:rFonts w:ascii="Times New Roman" w:eastAsia="Times New Roman" w:hAnsi="Times New Roman"/>
        </w:rPr>
      </w:pPr>
    </w:p>
    <w:p w14:paraId="0D57010D" w14:textId="1D4AD22D" w:rsidR="00C06550" w:rsidRPr="007D5F85" w:rsidRDefault="00B70562" w:rsidP="00C06550">
      <w:pPr>
        <w:jc w:val="center"/>
        <w:rPr>
          <w:rFonts w:ascii="Times New Roman" w:eastAsia="Times New Roman" w:hAnsi="Times New Roman"/>
        </w:rPr>
      </w:pPr>
      <w:r>
        <w:rPr>
          <w:rFonts w:ascii="Times New Roman" w:eastAsia="Times New Roman" w:hAnsi="Times New Roman"/>
        </w:rPr>
        <w:t xml:space="preserve"> </w:t>
      </w:r>
    </w:p>
    <w:p w14:paraId="3634D149" w14:textId="77777777" w:rsidR="00D13A59" w:rsidRPr="007D5F85" w:rsidRDefault="00D13A59" w:rsidP="00D13A59">
      <w:pPr>
        <w:rPr>
          <w:rFonts w:ascii="Times New Roman" w:eastAsia="Times New Roman" w:hAnsi="Times New Roman"/>
        </w:rPr>
      </w:pPr>
    </w:p>
    <w:p w14:paraId="77F5F0CA" w14:textId="77777777" w:rsidR="00D13A59" w:rsidRPr="007D5F85" w:rsidRDefault="00D13A59" w:rsidP="00D13A59">
      <w:pPr>
        <w:rPr>
          <w:rFonts w:ascii="Times New Roman" w:eastAsia="Times New Roman" w:hAnsi="Times New Roman"/>
        </w:rPr>
      </w:pPr>
      <w:r w:rsidRPr="007D5F85">
        <w:rPr>
          <w:rFonts w:ascii="Times New Roman" w:eastAsia="Times New Roman" w:hAnsi="Times New Roman"/>
        </w:rPr>
        <w:t>Note: The Stock Study and Education schedule is in the process of revision</w:t>
      </w:r>
    </w:p>
    <w:p w14:paraId="312365A0" w14:textId="77777777" w:rsidR="00D13A59" w:rsidRPr="007D5F85" w:rsidRDefault="00D13A59" w:rsidP="00D13A59">
      <w:pPr>
        <w:rPr>
          <w:rFonts w:ascii="Times New Roman" w:eastAsia="Times New Roman" w:hAnsi="Times New Roman"/>
          <w:color w:val="FF0000"/>
        </w:rPr>
      </w:pPr>
    </w:p>
    <w:p w14:paraId="35FE88DC" w14:textId="77777777" w:rsidR="00D13A59" w:rsidRPr="007D5F85" w:rsidRDefault="00D13A59" w:rsidP="00D13A59">
      <w:pPr>
        <w:rPr>
          <w:rFonts w:ascii="Times New Roman" w:eastAsia="Times New Roman" w:hAnsi="Times New Roman"/>
        </w:rPr>
      </w:pPr>
      <w:r w:rsidRPr="007D5F85">
        <w:rPr>
          <w:rFonts w:ascii="Times New Roman" w:hAnsi="Times New Roman"/>
          <w:noProof/>
        </w:rPr>
        <w:drawing>
          <wp:inline distT="0" distB="0" distL="0" distR="0" wp14:anchorId="106BD020" wp14:editId="131C16F9">
            <wp:extent cx="7223760" cy="68116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3760" cy="681169"/>
                    </a:xfrm>
                    <a:prstGeom prst="rect">
                      <a:avLst/>
                    </a:prstGeom>
                    <a:noFill/>
                    <a:ln>
                      <a:noFill/>
                    </a:ln>
                  </pic:spPr>
                </pic:pic>
              </a:graphicData>
            </a:graphic>
          </wp:inline>
        </w:drawing>
      </w:r>
    </w:p>
    <w:p w14:paraId="00D542AE" w14:textId="77777777" w:rsidR="00D13A59" w:rsidRPr="007D5F85" w:rsidRDefault="00D13A59" w:rsidP="00D13A59">
      <w:pPr>
        <w:rPr>
          <w:rFonts w:ascii="Times New Roman" w:eastAsia="Times New Roman" w:hAnsi="Times New Roman"/>
        </w:rPr>
      </w:pPr>
    </w:p>
    <w:p w14:paraId="721B8D38" w14:textId="2BD1DCF4" w:rsidR="006D7806" w:rsidRPr="007D5F85" w:rsidRDefault="006D7806">
      <w:pPr>
        <w:widowControl w:val="0"/>
        <w:spacing w:after="0" w:line="240" w:lineRule="auto"/>
        <w:rPr>
          <w:rFonts w:ascii="Times New Roman" w:hAnsi="Times New Roman"/>
        </w:rPr>
      </w:pPr>
    </w:p>
    <w:sectPr w:rsidR="006D7806" w:rsidRPr="007D5F85" w:rsidSect="00FF4901">
      <w:footerReference w:type="default" r:id="rId12"/>
      <w:pgSz w:w="12240" w:h="15840"/>
      <w:pgMar w:top="720" w:right="540" w:bottom="0" w:left="720" w:header="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0C20C" w14:textId="77777777" w:rsidR="007C228F" w:rsidRDefault="007C228F">
      <w:pPr>
        <w:spacing w:after="0" w:line="240" w:lineRule="auto"/>
      </w:pPr>
      <w:r>
        <w:separator/>
      </w:r>
    </w:p>
  </w:endnote>
  <w:endnote w:type="continuationSeparator" w:id="0">
    <w:p w14:paraId="59795260" w14:textId="77777777" w:rsidR="007C228F" w:rsidRDefault="007C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DB436" w14:textId="77777777" w:rsidR="00BE20C0" w:rsidRDefault="00BE20C0">
    <w:pPr>
      <w:pStyle w:val="Footer"/>
      <w:jc w:val="right"/>
    </w:pPr>
    <w:r>
      <w:fldChar w:fldCharType="begin"/>
    </w:r>
    <w:r>
      <w:instrText>PAGE</w:instrText>
    </w:r>
    <w:r>
      <w:fldChar w:fldCharType="separate"/>
    </w:r>
    <w:r w:rsidR="00F662E7">
      <w:rPr>
        <w:noProof/>
      </w:rPr>
      <w:t>1</w:t>
    </w:r>
    <w:r>
      <w:fldChar w:fldCharType="end"/>
    </w:r>
  </w:p>
  <w:p w14:paraId="32676DBC" w14:textId="77777777" w:rsidR="00BE20C0" w:rsidRDefault="00BE2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2596D" w14:textId="77777777" w:rsidR="007C228F" w:rsidRDefault="007C228F">
      <w:pPr>
        <w:spacing w:after="0" w:line="240" w:lineRule="auto"/>
      </w:pPr>
      <w:r>
        <w:separator/>
      </w:r>
    </w:p>
  </w:footnote>
  <w:footnote w:type="continuationSeparator" w:id="0">
    <w:p w14:paraId="36E06952" w14:textId="77777777" w:rsidR="007C228F" w:rsidRDefault="007C2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C0D60"/>
    <w:multiLevelType w:val="hybridMultilevel"/>
    <w:tmpl w:val="656AF2AA"/>
    <w:lvl w:ilvl="0" w:tplc="04090001">
      <w:start w:val="1"/>
      <w:numFmt w:val="bullet"/>
      <w:lvlText w:val=""/>
      <w:lvlJc w:val="left"/>
      <w:pPr>
        <w:ind w:left="720" w:hanging="360"/>
      </w:pPr>
      <w:rPr>
        <w:rFonts w:ascii="Symbol" w:hAnsi="Symbol" w:hint="default"/>
      </w:rPr>
    </w:lvl>
    <w:lvl w:ilvl="1" w:tplc="A92A5B26">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12716"/>
    <w:multiLevelType w:val="hybridMultilevel"/>
    <w:tmpl w:val="718C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648FE"/>
    <w:multiLevelType w:val="hybridMultilevel"/>
    <w:tmpl w:val="DF9C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54B4"/>
    <w:multiLevelType w:val="hybridMultilevel"/>
    <w:tmpl w:val="7D22D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D83FE2"/>
    <w:multiLevelType w:val="hybridMultilevel"/>
    <w:tmpl w:val="11D43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581D5D"/>
    <w:multiLevelType w:val="hybridMultilevel"/>
    <w:tmpl w:val="4E10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00C68"/>
    <w:multiLevelType w:val="hybridMultilevel"/>
    <w:tmpl w:val="2D68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06"/>
    <w:rsid w:val="00022D0E"/>
    <w:rsid w:val="00031139"/>
    <w:rsid w:val="00034FDC"/>
    <w:rsid w:val="000355FB"/>
    <w:rsid w:val="000370F4"/>
    <w:rsid w:val="000464F0"/>
    <w:rsid w:val="000663B2"/>
    <w:rsid w:val="00076A40"/>
    <w:rsid w:val="00097E2F"/>
    <w:rsid w:val="000E0FD9"/>
    <w:rsid w:val="0010100F"/>
    <w:rsid w:val="00113271"/>
    <w:rsid w:val="00115D7F"/>
    <w:rsid w:val="0012158C"/>
    <w:rsid w:val="00131E0E"/>
    <w:rsid w:val="00157150"/>
    <w:rsid w:val="0016718B"/>
    <w:rsid w:val="001731CB"/>
    <w:rsid w:val="0018005B"/>
    <w:rsid w:val="001A17FC"/>
    <w:rsid w:val="001F0762"/>
    <w:rsid w:val="00202DF1"/>
    <w:rsid w:val="00213B49"/>
    <w:rsid w:val="002435B7"/>
    <w:rsid w:val="00297D71"/>
    <w:rsid w:val="002C4DEE"/>
    <w:rsid w:val="002D0B41"/>
    <w:rsid w:val="002D378B"/>
    <w:rsid w:val="002D4780"/>
    <w:rsid w:val="002E22AE"/>
    <w:rsid w:val="002E783D"/>
    <w:rsid w:val="00301BD2"/>
    <w:rsid w:val="00326F3D"/>
    <w:rsid w:val="00327015"/>
    <w:rsid w:val="0035600C"/>
    <w:rsid w:val="00365B3E"/>
    <w:rsid w:val="00384C32"/>
    <w:rsid w:val="003944BE"/>
    <w:rsid w:val="003B207B"/>
    <w:rsid w:val="003B4AE5"/>
    <w:rsid w:val="003D4A7C"/>
    <w:rsid w:val="003D4C77"/>
    <w:rsid w:val="003F00C6"/>
    <w:rsid w:val="00424373"/>
    <w:rsid w:val="00436290"/>
    <w:rsid w:val="00442A4E"/>
    <w:rsid w:val="0045000C"/>
    <w:rsid w:val="004560C0"/>
    <w:rsid w:val="00485E41"/>
    <w:rsid w:val="004B3313"/>
    <w:rsid w:val="004B4938"/>
    <w:rsid w:val="0051627B"/>
    <w:rsid w:val="00527B79"/>
    <w:rsid w:val="00550296"/>
    <w:rsid w:val="00557A76"/>
    <w:rsid w:val="005835FF"/>
    <w:rsid w:val="005977C3"/>
    <w:rsid w:val="005B19FF"/>
    <w:rsid w:val="005B5810"/>
    <w:rsid w:val="005C7D77"/>
    <w:rsid w:val="00600E65"/>
    <w:rsid w:val="00606649"/>
    <w:rsid w:val="00613AED"/>
    <w:rsid w:val="00626A4C"/>
    <w:rsid w:val="00627DC7"/>
    <w:rsid w:val="0063685D"/>
    <w:rsid w:val="006526B5"/>
    <w:rsid w:val="00674420"/>
    <w:rsid w:val="006870B2"/>
    <w:rsid w:val="00694905"/>
    <w:rsid w:val="006B3125"/>
    <w:rsid w:val="006B7168"/>
    <w:rsid w:val="006D7806"/>
    <w:rsid w:val="006E0203"/>
    <w:rsid w:val="00723347"/>
    <w:rsid w:val="007457B7"/>
    <w:rsid w:val="00765D30"/>
    <w:rsid w:val="007A048E"/>
    <w:rsid w:val="007A1F42"/>
    <w:rsid w:val="007C1A30"/>
    <w:rsid w:val="007C228F"/>
    <w:rsid w:val="007D5F85"/>
    <w:rsid w:val="007D7DC7"/>
    <w:rsid w:val="007E1105"/>
    <w:rsid w:val="007F23A6"/>
    <w:rsid w:val="007F5F6F"/>
    <w:rsid w:val="00831ED4"/>
    <w:rsid w:val="008535C6"/>
    <w:rsid w:val="0085470A"/>
    <w:rsid w:val="00862143"/>
    <w:rsid w:val="0086450D"/>
    <w:rsid w:val="00887FEA"/>
    <w:rsid w:val="008A4E91"/>
    <w:rsid w:val="008C3CB5"/>
    <w:rsid w:val="008C6CE6"/>
    <w:rsid w:val="008E7976"/>
    <w:rsid w:val="008F4379"/>
    <w:rsid w:val="00913174"/>
    <w:rsid w:val="0094291E"/>
    <w:rsid w:val="0096417C"/>
    <w:rsid w:val="00965DAE"/>
    <w:rsid w:val="00980225"/>
    <w:rsid w:val="009B0DD4"/>
    <w:rsid w:val="009C039E"/>
    <w:rsid w:val="009C7EA0"/>
    <w:rsid w:val="009D0F75"/>
    <w:rsid w:val="00A021D8"/>
    <w:rsid w:val="00A201D3"/>
    <w:rsid w:val="00A2194C"/>
    <w:rsid w:val="00A762EA"/>
    <w:rsid w:val="00A8255D"/>
    <w:rsid w:val="00AA2F00"/>
    <w:rsid w:val="00AA56B0"/>
    <w:rsid w:val="00AD086C"/>
    <w:rsid w:val="00AF0964"/>
    <w:rsid w:val="00B0224E"/>
    <w:rsid w:val="00B07C60"/>
    <w:rsid w:val="00B47181"/>
    <w:rsid w:val="00B53745"/>
    <w:rsid w:val="00B5630C"/>
    <w:rsid w:val="00B70562"/>
    <w:rsid w:val="00B752BA"/>
    <w:rsid w:val="00B96D50"/>
    <w:rsid w:val="00BA088B"/>
    <w:rsid w:val="00BC01D0"/>
    <w:rsid w:val="00BD46B7"/>
    <w:rsid w:val="00BE20C0"/>
    <w:rsid w:val="00C02110"/>
    <w:rsid w:val="00C06550"/>
    <w:rsid w:val="00C15B4D"/>
    <w:rsid w:val="00C17856"/>
    <w:rsid w:val="00C31F21"/>
    <w:rsid w:val="00C3519E"/>
    <w:rsid w:val="00C378AD"/>
    <w:rsid w:val="00C42762"/>
    <w:rsid w:val="00C52996"/>
    <w:rsid w:val="00C547E5"/>
    <w:rsid w:val="00C5626B"/>
    <w:rsid w:val="00C566FB"/>
    <w:rsid w:val="00C63156"/>
    <w:rsid w:val="00CA20E0"/>
    <w:rsid w:val="00CA45B0"/>
    <w:rsid w:val="00CB106A"/>
    <w:rsid w:val="00CC02E3"/>
    <w:rsid w:val="00CC6279"/>
    <w:rsid w:val="00CE572F"/>
    <w:rsid w:val="00D12B19"/>
    <w:rsid w:val="00D13A59"/>
    <w:rsid w:val="00D15AD3"/>
    <w:rsid w:val="00D325F0"/>
    <w:rsid w:val="00D34A43"/>
    <w:rsid w:val="00D46DA0"/>
    <w:rsid w:val="00D564DE"/>
    <w:rsid w:val="00D908B9"/>
    <w:rsid w:val="00DB13F0"/>
    <w:rsid w:val="00DC26F6"/>
    <w:rsid w:val="00DD0DED"/>
    <w:rsid w:val="00DD308E"/>
    <w:rsid w:val="00DD5E3D"/>
    <w:rsid w:val="00DE261C"/>
    <w:rsid w:val="00E0184B"/>
    <w:rsid w:val="00E150B0"/>
    <w:rsid w:val="00E33E00"/>
    <w:rsid w:val="00E54C71"/>
    <w:rsid w:val="00E607E5"/>
    <w:rsid w:val="00E80FFF"/>
    <w:rsid w:val="00E8249D"/>
    <w:rsid w:val="00E87ADE"/>
    <w:rsid w:val="00E9093D"/>
    <w:rsid w:val="00E938E5"/>
    <w:rsid w:val="00EA13EC"/>
    <w:rsid w:val="00EB25D6"/>
    <w:rsid w:val="00EC4CC4"/>
    <w:rsid w:val="00F07889"/>
    <w:rsid w:val="00F14232"/>
    <w:rsid w:val="00F242C3"/>
    <w:rsid w:val="00F345CE"/>
    <w:rsid w:val="00F662E7"/>
    <w:rsid w:val="00F958FA"/>
    <w:rsid w:val="00FD13F5"/>
    <w:rsid w:val="00FF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3B9C6"/>
  <w15:docId w15:val="{BB9B4FDD-F5C5-7740-A3D8-9ABC198F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next w:val="Normal"/>
    <w:link w:val="Heading1Char"/>
    <w:uiPriority w:val="9"/>
    <w:unhideWhenUsed/>
    <w:qFormat/>
    <w:rsid w:val="0094291E"/>
    <w:pPr>
      <w:keepNext/>
      <w:keepLines/>
      <w:spacing w:after="219" w:line="259" w:lineRule="auto"/>
      <w:ind w:left="460"/>
      <w:jc w:val="center"/>
      <w:outlineLvl w:val="0"/>
    </w:pPr>
    <w:rPr>
      <w:rFonts w:ascii="Times New Roman" w:eastAsia="Times New Roman" w:hAnsi="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573F95"/>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b/>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E70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0203"/>
    <w:rPr>
      <w:color w:val="0000FF" w:themeColor="hyperlink"/>
      <w:u w:val="single"/>
    </w:rPr>
  </w:style>
  <w:style w:type="character" w:styleId="LineNumber">
    <w:name w:val="line number"/>
    <w:basedOn w:val="DefaultParagraphFont"/>
    <w:uiPriority w:val="99"/>
    <w:semiHidden/>
    <w:unhideWhenUsed/>
    <w:rsid w:val="00CA45B0"/>
  </w:style>
  <w:style w:type="character" w:customStyle="1" w:styleId="Heading1Char">
    <w:name w:val="Heading 1 Char"/>
    <w:basedOn w:val="DefaultParagraphFont"/>
    <w:link w:val="Heading1"/>
    <w:uiPriority w:val="9"/>
    <w:rsid w:val="0094291E"/>
    <w:rPr>
      <w:rFonts w:ascii="Times New Roman" w:eastAsia="Times New Roman" w:hAnsi="Times New Roman"/>
      <w:b/>
      <w:color w:val="000000"/>
      <w:sz w:val="28"/>
    </w:rPr>
  </w:style>
  <w:style w:type="paragraph" w:styleId="NormalWeb">
    <w:name w:val="Normal (Web)"/>
    <w:basedOn w:val="Normal"/>
    <w:uiPriority w:val="99"/>
    <w:unhideWhenUsed/>
    <w:rsid w:val="006870B2"/>
    <w:pPr>
      <w:spacing w:before="100" w:beforeAutospacing="1" w:after="100" w:afterAutospacing="1" w:line="240" w:lineRule="auto"/>
    </w:pPr>
    <w:rPr>
      <w:rFonts w:ascii="Times" w:hAnsi="Times"/>
      <w:sz w:val="20"/>
      <w:szCs w:val="20"/>
    </w:rPr>
  </w:style>
  <w:style w:type="character" w:styleId="CommentReference">
    <w:name w:val="annotation reference"/>
    <w:basedOn w:val="DefaultParagraphFont"/>
    <w:uiPriority w:val="99"/>
    <w:semiHidden/>
    <w:unhideWhenUsed/>
    <w:rsid w:val="002E783D"/>
    <w:rPr>
      <w:sz w:val="16"/>
      <w:szCs w:val="16"/>
    </w:rPr>
  </w:style>
  <w:style w:type="paragraph" w:styleId="CommentText">
    <w:name w:val="annotation text"/>
    <w:basedOn w:val="Normal"/>
    <w:link w:val="CommentTextChar"/>
    <w:uiPriority w:val="99"/>
    <w:semiHidden/>
    <w:unhideWhenUsed/>
    <w:rsid w:val="002E783D"/>
    <w:pPr>
      <w:spacing w:line="240" w:lineRule="auto"/>
    </w:pPr>
    <w:rPr>
      <w:sz w:val="20"/>
      <w:szCs w:val="20"/>
    </w:rPr>
  </w:style>
  <w:style w:type="character" w:customStyle="1" w:styleId="CommentTextChar">
    <w:name w:val="Comment Text Char"/>
    <w:basedOn w:val="DefaultParagraphFont"/>
    <w:link w:val="CommentText"/>
    <w:uiPriority w:val="99"/>
    <w:semiHidden/>
    <w:rsid w:val="002E783D"/>
    <w:rPr>
      <w:sz w:val="20"/>
      <w:szCs w:val="20"/>
    </w:rPr>
  </w:style>
  <w:style w:type="paragraph" w:styleId="CommentSubject">
    <w:name w:val="annotation subject"/>
    <w:basedOn w:val="CommentText"/>
    <w:next w:val="CommentText"/>
    <w:link w:val="CommentSubjectChar"/>
    <w:uiPriority w:val="99"/>
    <w:semiHidden/>
    <w:unhideWhenUsed/>
    <w:rsid w:val="002E783D"/>
    <w:rPr>
      <w:b/>
      <w:bCs/>
    </w:rPr>
  </w:style>
  <w:style w:type="character" w:customStyle="1" w:styleId="CommentSubjectChar">
    <w:name w:val="Comment Subject Char"/>
    <w:basedOn w:val="CommentTextChar"/>
    <w:link w:val="CommentSubject"/>
    <w:uiPriority w:val="99"/>
    <w:semiHidden/>
    <w:rsid w:val="002E783D"/>
    <w:rPr>
      <w:b/>
      <w:bCs/>
      <w:sz w:val="20"/>
      <w:szCs w:val="20"/>
    </w:rPr>
  </w:style>
  <w:style w:type="character" w:customStyle="1" w:styleId="apple-converted-space">
    <w:name w:val="apple-converted-space"/>
    <w:basedOn w:val="DefaultParagraphFont"/>
    <w:rsid w:val="0060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171514">
      <w:bodyDiv w:val="1"/>
      <w:marLeft w:val="0"/>
      <w:marRight w:val="0"/>
      <w:marTop w:val="0"/>
      <w:marBottom w:val="0"/>
      <w:divBdr>
        <w:top w:val="none" w:sz="0" w:space="0" w:color="auto"/>
        <w:left w:val="none" w:sz="0" w:space="0" w:color="auto"/>
        <w:bottom w:val="none" w:sz="0" w:space="0" w:color="auto"/>
        <w:right w:val="none" w:sz="0" w:space="0" w:color="auto"/>
      </w:divBdr>
    </w:div>
    <w:div w:id="1586916987">
      <w:bodyDiv w:val="1"/>
      <w:marLeft w:val="0"/>
      <w:marRight w:val="0"/>
      <w:marTop w:val="0"/>
      <w:marBottom w:val="0"/>
      <w:divBdr>
        <w:top w:val="none" w:sz="0" w:space="0" w:color="auto"/>
        <w:left w:val="none" w:sz="0" w:space="0" w:color="auto"/>
        <w:bottom w:val="none" w:sz="0" w:space="0" w:color="auto"/>
        <w:right w:val="none" w:sz="0" w:space="0" w:color="auto"/>
      </w:divBdr>
    </w:div>
    <w:div w:id="1959020438">
      <w:bodyDiv w:val="1"/>
      <w:marLeft w:val="0"/>
      <w:marRight w:val="0"/>
      <w:marTop w:val="0"/>
      <w:marBottom w:val="0"/>
      <w:divBdr>
        <w:top w:val="none" w:sz="0" w:space="0" w:color="auto"/>
        <w:left w:val="none" w:sz="0" w:space="0" w:color="auto"/>
        <w:bottom w:val="none" w:sz="0" w:space="0" w:color="auto"/>
        <w:right w:val="none" w:sz="0" w:space="0" w:color="auto"/>
      </w:divBdr>
    </w:div>
    <w:div w:id="1994991487">
      <w:bodyDiv w:val="1"/>
      <w:marLeft w:val="0"/>
      <w:marRight w:val="0"/>
      <w:marTop w:val="0"/>
      <w:marBottom w:val="0"/>
      <w:divBdr>
        <w:top w:val="none" w:sz="0" w:space="0" w:color="auto"/>
        <w:left w:val="none" w:sz="0" w:space="0" w:color="auto"/>
        <w:bottom w:val="none" w:sz="0" w:space="0" w:color="auto"/>
        <w:right w:val="none" w:sz="0" w:space="0" w:color="auto"/>
      </w:divBdr>
    </w:div>
    <w:div w:id="2070767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kavula1@comcas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www.manifestinvesting.com/dashboards/public/PF79C2D" TargetMode="External"/><Relationship Id="rId4" Type="http://schemas.openxmlformats.org/officeDocument/2006/relationships/settings" Target="settings.xml"/><Relationship Id="rId9" Type="http://schemas.openxmlformats.org/officeDocument/2006/relationships/hyperlink" Target="https://www.manifestinvesting.com/dashboards/public/KJQJDP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ACE3-F6B4-4E16-89BF-8DFD39CF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Kathleen Lester</cp:lastModifiedBy>
  <cp:revision>18</cp:revision>
  <cp:lastPrinted>2019-03-16T13:41:00Z</cp:lastPrinted>
  <dcterms:created xsi:type="dcterms:W3CDTF">2021-01-16T14:46:00Z</dcterms:created>
  <dcterms:modified xsi:type="dcterms:W3CDTF">2021-01-19T15:38:00Z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