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331C" w14:textId="21CF185B" w:rsidR="001B2E6D" w:rsidRPr="00D84928" w:rsidRDefault="008E6FDA" w:rsidP="00516890">
      <w:pPr>
        <w:spacing w:after="0" w:line="240" w:lineRule="auto"/>
        <w:rPr>
          <w:rFonts w:ascii="Verdana" w:hAnsi="Verdana"/>
          <w:sz w:val="28"/>
          <w:szCs w:val="28"/>
        </w:rPr>
      </w:pPr>
      <w:r w:rsidRPr="00D84928">
        <w:rPr>
          <w:rFonts w:ascii="Verdana" w:hAnsi="Verdana"/>
          <w:b/>
          <w:sz w:val="28"/>
          <w:szCs w:val="28"/>
        </w:rPr>
        <w:t>First</w:t>
      </w:r>
      <w:r w:rsidR="00DC18E2" w:rsidRPr="00D84928">
        <w:rPr>
          <w:rFonts w:ascii="Verdana" w:hAnsi="Verdana"/>
          <w:b/>
          <w:sz w:val="28"/>
          <w:szCs w:val="28"/>
        </w:rPr>
        <w:t xml:space="preserve"> </w:t>
      </w:r>
      <w:r w:rsidR="00516890" w:rsidRPr="00D84928">
        <w:rPr>
          <w:rFonts w:ascii="Verdana" w:hAnsi="Verdana"/>
          <w:b/>
          <w:sz w:val="28"/>
          <w:szCs w:val="28"/>
        </w:rPr>
        <w:t>Quarter report</w:t>
      </w:r>
      <w:r w:rsidR="00946583" w:rsidRPr="00D84928">
        <w:rPr>
          <w:rFonts w:ascii="Verdana" w:hAnsi="Verdana"/>
          <w:b/>
          <w:sz w:val="28"/>
          <w:szCs w:val="28"/>
        </w:rPr>
        <w:t>, 20</w:t>
      </w:r>
      <w:r w:rsidR="00FC496E" w:rsidRPr="00D84928">
        <w:rPr>
          <w:rFonts w:ascii="Verdana" w:hAnsi="Verdana"/>
          <w:b/>
          <w:sz w:val="28"/>
          <w:szCs w:val="28"/>
        </w:rPr>
        <w:t>2</w:t>
      </w:r>
      <w:r w:rsidRPr="00D84928">
        <w:rPr>
          <w:rFonts w:ascii="Verdana" w:hAnsi="Verdana"/>
          <w:b/>
          <w:sz w:val="28"/>
          <w:szCs w:val="28"/>
        </w:rPr>
        <w:t>3</w:t>
      </w:r>
      <w:r w:rsidR="00946583" w:rsidRPr="00D84928">
        <w:rPr>
          <w:rFonts w:ascii="Verdana" w:hAnsi="Verdana"/>
          <w:b/>
          <w:sz w:val="28"/>
          <w:szCs w:val="28"/>
        </w:rPr>
        <w:t>,</w:t>
      </w:r>
      <w:r w:rsidR="00D83AC0" w:rsidRPr="00D84928">
        <w:rPr>
          <w:rFonts w:ascii="Verdana" w:hAnsi="Verdana"/>
          <w:b/>
          <w:sz w:val="28"/>
          <w:szCs w:val="28"/>
        </w:rPr>
        <w:t xml:space="preserve"> for </w:t>
      </w:r>
      <w:r w:rsidR="00F51A82" w:rsidRPr="00D84928">
        <w:rPr>
          <w:rFonts w:ascii="Verdana" w:hAnsi="Verdana"/>
          <w:b/>
          <w:sz w:val="28"/>
          <w:szCs w:val="28"/>
        </w:rPr>
        <w:t>NV5 Global</w:t>
      </w:r>
      <w:r w:rsidR="00946583" w:rsidRPr="00D84928">
        <w:rPr>
          <w:rFonts w:ascii="Verdana" w:hAnsi="Verdana"/>
          <w:b/>
          <w:sz w:val="28"/>
          <w:szCs w:val="28"/>
        </w:rPr>
        <w:t xml:space="preserve"> (</w:t>
      </w:r>
      <w:r w:rsidR="00F51A82" w:rsidRPr="00D84928">
        <w:rPr>
          <w:rFonts w:ascii="Verdana" w:hAnsi="Verdana"/>
          <w:b/>
          <w:sz w:val="28"/>
          <w:szCs w:val="28"/>
        </w:rPr>
        <w:t>NVEE</w:t>
      </w:r>
      <w:r w:rsidR="00946583" w:rsidRPr="00D84928">
        <w:rPr>
          <w:rFonts w:ascii="Verdana" w:hAnsi="Verdana"/>
          <w:b/>
          <w:sz w:val="28"/>
          <w:szCs w:val="28"/>
        </w:rPr>
        <w:t>)</w:t>
      </w:r>
      <w:r w:rsidR="00946583" w:rsidRPr="00D84928">
        <w:rPr>
          <w:rFonts w:ascii="Verdana" w:hAnsi="Verdana"/>
          <w:b/>
          <w:sz w:val="28"/>
          <w:szCs w:val="28"/>
        </w:rPr>
        <w:tab/>
      </w:r>
      <w:r w:rsidR="00890A19" w:rsidRPr="00D84928">
        <w:rPr>
          <w:rFonts w:ascii="Verdana" w:hAnsi="Verdana"/>
          <w:b/>
          <w:sz w:val="28"/>
          <w:szCs w:val="28"/>
        </w:rPr>
        <w:tab/>
      </w:r>
      <w:r w:rsidR="00F51A82" w:rsidRPr="00D84928">
        <w:rPr>
          <w:rFonts w:ascii="Verdana" w:hAnsi="Verdana"/>
          <w:b/>
          <w:sz w:val="28"/>
          <w:szCs w:val="28"/>
        </w:rPr>
        <w:tab/>
      </w:r>
      <w:r w:rsidR="00F51A82" w:rsidRPr="00D84928">
        <w:rPr>
          <w:rFonts w:ascii="Verdana" w:hAnsi="Verdana"/>
          <w:b/>
          <w:sz w:val="28"/>
          <w:szCs w:val="28"/>
        </w:rPr>
        <w:tab/>
      </w:r>
      <w:r w:rsidR="00946583" w:rsidRPr="00D84928">
        <w:rPr>
          <w:rFonts w:ascii="Verdana" w:hAnsi="Verdana"/>
          <w:b/>
          <w:sz w:val="28"/>
          <w:szCs w:val="28"/>
        </w:rPr>
        <w:t>Date:</w:t>
      </w:r>
      <w:r w:rsidR="00A52F9B" w:rsidRPr="00D84928">
        <w:rPr>
          <w:rFonts w:ascii="Verdana" w:hAnsi="Verdana"/>
          <w:b/>
          <w:sz w:val="28"/>
          <w:szCs w:val="28"/>
        </w:rPr>
        <w:t xml:space="preserve"> </w:t>
      </w:r>
      <w:r w:rsidR="00AA085F" w:rsidRPr="00D84928">
        <w:rPr>
          <w:rFonts w:ascii="Verdana" w:hAnsi="Verdana"/>
          <w:sz w:val="28"/>
          <w:szCs w:val="28"/>
          <w:u w:val="single"/>
        </w:rPr>
        <w:t>Oct</w:t>
      </w:r>
      <w:r w:rsidRPr="00D84928">
        <w:rPr>
          <w:rFonts w:ascii="Verdana" w:hAnsi="Verdana"/>
          <w:sz w:val="28"/>
          <w:szCs w:val="28"/>
          <w:u w:val="single"/>
        </w:rPr>
        <w:t xml:space="preserve"> </w:t>
      </w:r>
      <w:r w:rsidR="00AA085F" w:rsidRPr="00D84928">
        <w:rPr>
          <w:rFonts w:ascii="Verdana" w:hAnsi="Verdana"/>
          <w:sz w:val="28"/>
          <w:szCs w:val="28"/>
          <w:u w:val="single"/>
        </w:rPr>
        <w:t>3</w:t>
      </w:r>
      <w:r w:rsidR="00404D11" w:rsidRPr="00D84928">
        <w:rPr>
          <w:rFonts w:ascii="Verdana" w:hAnsi="Verdana"/>
          <w:sz w:val="28"/>
          <w:szCs w:val="28"/>
          <w:u w:val="single"/>
        </w:rPr>
        <w:t>, 20</w:t>
      </w:r>
      <w:r w:rsidR="00F671B6" w:rsidRPr="00D84928">
        <w:rPr>
          <w:rFonts w:ascii="Verdana" w:hAnsi="Verdana"/>
          <w:sz w:val="28"/>
          <w:szCs w:val="28"/>
          <w:u w:val="single"/>
        </w:rPr>
        <w:t>23</w:t>
      </w:r>
    </w:p>
    <w:p w14:paraId="20258B38" w14:textId="598F9FBE" w:rsidR="00516890" w:rsidRPr="00D84928" w:rsidRDefault="00516890" w:rsidP="00516890">
      <w:pPr>
        <w:spacing w:after="0" w:line="240" w:lineRule="auto"/>
        <w:rPr>
          <w:rFonts w:ascii="Verdana" w:hAnsi="Verdana"/>
          <w:sz w:val="28"/>
          <w:szCs w:val="28"/>
        </w:rPr>
      </w:pPr>
      <w:r w:rsidRPr="00D84928">
        <w:rPr>
          <w:rFonts w:ascii="Verdana" w:hAnsi="Verdana"/>
          <w:sz w:val="28"/>
          <w:szCs w:val="28"/>
        </w:rPr>
        <w:t>Percentage change in Sales from year ago quarter</w:t>
      </w:r>
      <w:r w:rsidR="00625DC4" w:rsidRPr="00D84928">
        <w:rPr>
          <w:rFonts w:ascii="Verdana" w:hAnsi="Verdana"/>
          <w:sz w:val="28"/>
          <w:szCs w:val="28"/>
        </w:rPr>
        <w:t xml:space="preserve">   </w:t>
      </w:r>
      <w:r w:rsidR="00625DC4" w:rsidRPr="00D84928">
        <w:rPr>
          <w:rFonts w:ascii="Verdana" w:hAnsi="Verdana"/>
          <w:sz w:val="28"/>
          <w:szCs w:val="28"/>
        </w:rPr>
        <w:tab/>
      </w:r>
      <w:r w:rsidR="00625DC4" w:rsidRPr="00D84928">
        <w:rPr>
          <w:rFonts w:ascii="Verdana" w:hAnsi="Verdana"/>
          <w:sz w:val="28"/>
          <w:szCs w:val="28"/>
        </w:rPr>
        <w:tab/>
      </w:r>
      <w:r w:rsidR="00625DC4" w:rsidRPr="00D84928">
        <w:rPr>
          <w:rFonts w:ascii="Verdana" w:hAnsi="Verdana"/>
          <w:sz w:val="28"/>
          <w:szCs w:val="28"/>
        </w:rPr>
        <w:tab/>
      </w:r>
      <w:r w:rsidR="00625DC4" w:rsidRPr="00D84928">
        <w:rPr>
          <w:rFonts w:ascii="Verdana" w:hAnsi="Verdana"/>
          <w:sz w:val="28"/>
          <w:szCs w:val="28"/>
        </w:rPr>
        <w:tab/>
      </w:r>
      <w:r w:rsidR="00625DC4" w:rsidRPr="00D84928">
        <w:rPr>
          <w:rFonts w:ascii="Verdana" w:hAnsi="Verdana"/>
          <w:sz w:val="28"/>
          <w:szCs w:val="28"/>
        </w:rPr>
        <w:tab/>
      </w:r>
      <w:r w:rsidR="000E4A40" w:rsidRPr="00D84928">
        <w:rPr>
          <w:rFonts w:ascii="Verdana" w:hAnsi="Verdana"/>
          <w:sz w:val="28"/>
          <w:szCs w:val="28"/>
        </w:rPr>
        <w:t>1</w:t>
      </w:r>
      <w:r w:rsidR="00AA085F" w:rsidRPr="00D84928">
        <w:rPr>
          <w:rFonts w:ascii="Verdana" w:hAnsi="Verdana"/>
          <w:sz w:val="28"/>
          <w:szCs w:val="28"/>
        </w:rPr>
        <w:t>0</w:t>
      </w:r>
      <w:r w:rsidR="000E4A40" w:rsidRPr="00D84928">
        <w:rPr>
          <w:rFonts w:ascii="Verdana" w:hAnsi="Verdana"/>
          <w:sz w:val="28"/>
          <w:szCs w:val="28"/>
        </w:rPr>
        <w:t>%</w:t>
      </w:r>
    </w:p>
    <w:p w14:paraId="5B5AB936" w14:textId="66B23E00" w:rsidR="00516890" w:rsidRPr="00D84928" w:rsidRDefault="00516890" w:rsidP="00516890">
      <w:pPr>
        <w:spacing w:after="0" w:line="240" w:lineRule="auto"/>
        <w:rPr>
          <w:rFonts w:ascii="Verdana" w:hAnsi="Verdana"/>
          <w:sz w:val="28"/>
          <w:szCs w:val="28"/>
        </w:rPr>
      </w:pPr>
      <w:r w:rsidRPr="00D84928">
        <w:rPr>
          <w:rFonts w:ascii="Verdana" w:hAnsi="Verdana"/>
          <w:sz w:val="28"/>
          <w:szCs w:val="28"/>
        </w:rPr>
        <w:t>Percentage change in Earnings p</w:t>
      </w:r>
      <w:r w:rsidR="003335BE" w:rsidRPr="00D84928">
        <w:rPr>
          <w:rFonts w:ascii="Verdana" w:hAnsi="Verdana"/>
          <w:sz w:val="28"/>
          <w:szCs w:val="28"/>
        </w:rPr>
        <w:t xml:space="preserve">er Share from year ago </w:t>
      </w:r>
      <w:r w:rsidR="00D83AC0" w:rsidRPr="00D84928">
        <w:rPr>
          <w:rFonts w:ascii="Verdana" w:hAnsi="Verdana"/>
          <w:sz w:val="28"/>
          <w:szCs w:val="28"/>
        </w:rPr>
        <w:t xml:space="preserve">quarter </w:t>
      </w:r>
      <w:r w:rsidR="00890A19" w:rsidRPr="00D84928">
        <w:rPr>
          <w:rFonts w:ascii="Verdana" w:hAnsi="Verdana"/>
          <w:sz w:val="28"/>
          <w:szCs w:val="28"/>
        </w:rPr>
        <w:tab/>
      </w:r>
      <w:r w:rsidR="00890A19" w:rsidRPr="00D84928">
        <w:rPr>
          <w:rFonts w:ascii="Verdana" w:hAnsi="Verdana"/>
          <w:sz w:val="28"/>
          <w:szCs w:val="28"/>
        </w:rPr>
        <w:tab/>
      </w:r>
      <w:r w:rsidR="00890A19" w:rsidRPr="00D84928">
        <w:rPr>
          <w:rFonts w:ascii="Verdana" w:hAnsi="Verdana"/>
          <w:sz w:val="28"/>
          <w:szCs w:val="28"/>
        </w:rPr>
        <w:tab/>
      </w:r>
      <w:r w:rsidR="00F671B6" w:rsidRPr="00D84928">
        <w:rPr>
          <w:rFonts w:ascii="Verdana" w:hAnsi="Verdana"/>
          <w:sz w:val="28"/>
          <w:szCs w:val="28"/>
        </w:rPr>
        <w:t>-</w:t>
      </w:r>
      <w:r w:rsidR="00AA085F" w:rsidRPr="00D84928">
        <w:rPr>
          <w:rFonts w:ascii="Verdana" w:hAnsi="Verdana"/>
          <w:sz w:val="28"/>
          <w:szCs w:val="28"/>
        </w:rPr>
        <w:t>1</w:t>
      </w:r>
      <w:r w:rsidR="000E4A40" w:rsidRPr="00D84928">
        <w:rPr>
          <w:rFonts w:ascii="Verdana" w:hAnsi="Verdana"/>
          <w:sz w:val="28"/>
          <w:szCs w:val="28"/>
        </w:rPr>
        <w:t>1.</w:t>
      </w:r>
      <w:r w:rsidR="00AA085F" w:rsidRPr="00D84928">
        <w:rPr>
          <w:rFonts w:ascii="Verdana" w:hAnsi="Verdana"/>
          <w:sz w:val="28"/>
          <w:szCs w:val="28"/>
        </w:rPr>
        <w:t>5</w:t>
      </w:r>
      <w:r w:rsidR="000E4A40" w:rsidRPr="00D84928">
        <w:rPr>
          <w:rFonts w:ascii="Verdana" w:hAnsi="Verdana"/>
          <w:sz w:val="28"/>
          <w:szCs w:val="28"/>
        </w:rPr>
        <w:t>%</w:t>
      </w:r>
    </w:p>
    <w:p w14:paraId="42802C9A" w14:textId="77777777" w:rsidR="00516890" w:rsidRPr="00D84928" w:rsidRDefault="00516890" w:rsidP="00516890">
      <w:pPr>
        <w:spacing w:after="0" w:line="240" w:lineRule="auto"/>
        <w:rPr>
          <w:rFonts w:ascii="Verdana" w:hAnsi="Verdana"/>
          <w:sz w:val="28"/>
          <w:szCs w:val="28"/>
        </w:rPr>
      </w:pPr>
      <w:r w:rsidRPr="00D84928">
        <w:rPr>
          <w:rFonts w:ascii="Verdana" w:hAnsi="Verdana"/>
          <w:sz w:val="28"/>
          <w:szCs w:val="28"/>
        </w:rPr>
        <w:t>Is company meeting our target sales &amp; earnings estimates?</w:t>
      </w:r>
      <w:r w:rsidR="00FD1551" w:rsidRPr="00D84928">
        <w:rPr>
          <w:rFonts w:ascii="Verdana" w:hAnsi="Verdana"/>
          <w:sz w:val="28"/>
          <w:szCs w:val="28"/>
        </w:rPr>
        <w:t xml:space="preserve">  </w:t>
      </w:r>
      <w:r w:rsidR="00890A19" w:rsidRPr="00D84928">
        <w:rPr>
          <w:rFonts w:ascii="Verdana" w:hAnsi="Verdana"/>
          <w:sz w:val="28"/>
          <w:szCs w:val="28"/>
        </w:rPr>
        <w:tab/>
      </w:r>
      <w:r w:rsidR="00890A19" w:rsidRPr="00D84928">
        <w:rPr>
          <w:rFonts w:ascii="Verdana" w:hAnsi="Verdana"/>
          <w:sz w:val="28"/>
          <w:szCs w:val="28"/>
        </w:rPr>
        <w:tab/>
      </w:r>
      <w:r w:rsidR="00890A19" w:rsidRPr="00D84928">
        <w:rPr>
          <w:rFonts w:ascii="Verdana" w:hAnsi="Verdana"/>
          <w:sz w:val="28"/>
          <w:szCs w:val="28"/>
        </w:rPr>
        <w:tab/>
      </w:r>
      <w:r w:rsidR="00F671B6" w:rsidRPr="00D84928">
        <w:rPr>
          <w:rFonts w:ascii="Verdana" w:hAnsi="Verdana"/>
          <w:b/>
          <w:sz w:val="28"/>
          <w:szCs w:val="28"/>
        </w:rPr>
        <w:t>No</w:t>
      </w:r>
    </w:p>
    <w:p w14:paraId="4A3BDD92" w14:textId="77777777" w:rsidR="00516890" w:rsidRPr="00D84928" w:rsidRDefault="00516890" w:rsidP="00516890">
      <w:pPr>
        <w:spacing w:after="0" w:line="240" w:lineRule="auto"/>
        <w:rPr>
          <w:rFonts w:ascii="Verdana" w:hAnsi="Verdana"/>
          <w:sz w:val="28"/>
          <w:szCs w:val="28"/>
        </w:rPr>
      </w:pPr>
      <w:r w:rsidRPr="00D84928">
        <w:rPr>
          <w:rFonts w:ascii="Verdana" w:hAnsi="Verdana"/>
          <w:sz w:val="28"/>
          <w:szCs w:val="28"/>
        </w:rPr>
        <w:t>Pre-tax Profit on sales trend?   (up, even, down</w:t>
      </w:r>
      <w:r w:rsidR="001A47C0" w:rsidRPr="00D84928">
        <w:rPr>
          <w:rFonts w:ascii="Verdana" w:hAnsi="Verdana"/>
          <w:sz w:val="28"/>
          <w:szCs w:val="28"/>
        </w:rPr>
        <w:t xml:space="preserve">) </w:t>
      </w:r>
      <w:r w:rsidR="00890A19" w:rsidRPr="00D84928">
        <w:rPr>
          <w:rFonts w:ascii="Verdana" w:hAnsi="Verdana"/>
          <w:sz w:val="28"/>
          <w:szCs w:val="28"/>
        </w:rPr>
        <w:tab/>
      </w:r>
      <w:r w:rsidR="00890A19" w:rsidRPr="00D84928">
        <w:rPr>
          <w:rFonts w:ascii="Verdana" w:hAnsi="Verdana"/>
          <w:sz w:val="28"/>
          <w:szCs w:val="28"/>
        </w:rPr>
        <w:tab/>
      </w:r>
      <w:r w:rsidR="00890A19" w:rsidRPr="00D84928">
        <w:rPr>
          <w:rFonts w:ascii="Verdana" w:hAnsi="Verdana"/>
          <w:sz w:val="28"/>
          <w:szCs w:val="28"/>
        </w:rPr>
        <w:tab/>
      </w:r>
      <w:r w:rsidR="00890A19" w:rsidRPr="00D84928">
        <w:rPr>
          <w:rFonts w:ascii="Verdana" w:hAnsi="Verdana"/>
          <w:sz w:val="28"/>
          <w:szCs w:val="28"/>
        </w:rPr>
        <w:tab/>
      </w:r>
      <w:r w:rsidR="00890A19" w:rsidRPr="00D84928">
        <w:rPr>
          <w:rFonts w:ascii="Verdana" w:hAnsi="Verdana"/>
          <w:sz w:val="28"/>
          <w:szCs w:val="28"/>
        </w:rPr>
        <w:tab/>
      </w:r>
      <w:r w:rsidR="00F671B6" w:rsidRPr="00D84928">
        <w:rPr>
          <w:rFonts w:ascii="Verdana" w:hAnsi="Verdana"/>
          <w:b/>
          <w:sz w:val="28"/>
          <w:szCs w:val="28"/>
        </w:rPr>
        <w:t>UP</w:t>
      </w:r>
      <w:r w:rsidR="00890A19" w:rsidRPr="00D84928">
        <w:rPr>
          <w:rFonts w:ascii="Verdana" w:hAnsi="Verdana"/>
          <w:b/>
          <w:sz w:val="28"/>
          <w:szCs w:val="28"/>
        </w:rPr>
        <w:t xml:space="preserve"> </w:t>
      </w:r>
    </w:p>
    <w:p w14:paraId="75B00AC5" w14:textId="615372BD" w:rsidR="00516890" w:rsidRPr="00D84928" w:rsidRDefault="00516890" w:rsidP="00516890">
      <w:pPr>
        <w:spacing w:after="0" w:line="240" w:lineRule="auto"/>
        <w:rPr>
          <w:rFonts w:ascii="Verdana" w:hAnsi="Verdana"/>
          <w:sz w:val="28"/>
          <w:szCs w:val="28"/>
        </w:rPr>
      </w:pPr>
      <w:r w:rsidRPr="00D84928">
        <w:rPr>
          <w:rFonts w:ascii="Verdana" w:hAnsi="Verdana"/>
          <w:sz w:val="28"/>
          <w:szCs w:val="28"/>
        </w:rPr>
        <w:t>Return on equity trends?  (up, even, down</w:t>
      </w:r>
      <w:r w:rsidR="001A47C0" w:rsidRPr="00D84928">
        <w:rPr>
          <w:rFonts w:ascii="Verdana" w:hAnsi="Verdana"/>
          <w:sz w:val="28"/>
          <w:szCs w:val="28"/>
        </w:rPr>
        <w:t xml:space="preserve">) </w:t>
      </w:r>
      <w:r w:rsidR="00890A19" w:rsidRPr="00D84928">
        <w:rPr>
          <w:rFonts w:ascii="Verdana" w:hAnsi="Verdana"/>
          <w:sz w:val="28"/>
          <w:szCs w:val="28"/>
        </w:rPr>
        <w:tab/>
      </w:r>
      <w:r w:rsidR="00890A19" w:rsidRPr="00D84928">
        <w:rPr>
          <w:rFonts w:ascii="Verdana" w:hAnsi="Verdana"/>
          <w:sz w:val="28"/>
          <w:szCs w:val="28"/>
        </w:rPr>
        <w:tab/>
      </w:r>
      <w:r w:rsidR="00890A19" w:rsidRPr="00D84928">
        <w:rPr>
          <w:rFonts w:ascii="Verdana" w:hAnsi="Verdana"/>
          <w:sz w:val="28"/>
          <w:szCs w:val="28"/>
        </w:rPr>
        <w:tab/>
      </w:r>
      <w:r w:rsidR="00890A19" w:rsidRPr="00D84928">
        <w:rPr>
          <w:rFonts w:ascii="Verdana" w:hAnsi="Verdana"/>
          <w:sz w:val="28"/>
          <w:szCs w:val="28"/>
        </w:rPr>
        <w:tab/>
      </w:r>
      <w:r w:rsidR="00890A19" w:rsidRPr="00D84928">
        <w:rPr>
          <w:rFonts w:ascii="Verdana" w:hAnsi="Verdana"/>
          <w:sz w:val="28"/>
          <w:szCs w:val="28"/>
        </w:rPr>
        <w:tab/>
      </w:r>
      <w:r w:rsidR="00890A19" w:rsidRPr="00D84928">
        <w:rPr>
          <w:rFonts w:ascii="Verdana" w:hAnsi="Verdana"/>
          <w:sz w:val="28"/>
          <w:szCs w:val="28"/>
        </w:rPr>
        <w:tab/>
      </w:r>
      <w:r w:rsidR="000E4A40" w:rsidRPr="00D84928">
        <w:rPr>
          <w:rFonts w:ascii="Verdana" w:hAnsi="Verdana"/>
          <w:sz w:val="28"/>
          <w:szCs w:val="28"/>
        </w:rPr>
        <w:t>DOWN</w:t>
      </w:r>
    </w:p>
    <w:p w14:paraId="7D9A1482" w14:textId="4BB46292" w:rsidR="00516890" w:rsidRPr="00D84928" w:rsidRDefault="00516890" w:rsidP="00516890">
      <w:pPr>
        <w:spacing w:after="0" w:line="240" w:lineRule="auto"/>
        <w:rPr>
          <w:rFonts w:ascii="Verdana" w:hAnsi="Verdana"/>
          <w:sz w:val="28"/>
          <w:szCs w:val="28"/>
        </w:rPr>
      </w:pPr>
      <w:r w:rsidRPr="00D84928">
        <w:rPr>
          <w:rFonts w:ascii="Verdana" w:hAnsi="Verdana"/>
          <w:sz w:val="28"/>
          <w:szCs w:val="28"/>
        </w:rPr>
        <w:t>Debt?  (up, even, down)</w:t>
      </w:r>
      <w:r w:rsidR="004D6EEE" w:rsidRPr="00D84928">
        <w:rPr>
          <w:rFonts w:ascii="Verdana" w:hAnsi="Verdana"/>
          <w:sz w:val="28"/>
          <w:szCs w:val="28"/>
        </w:rPr>
        <w:t xml:space="preserve"> </w:t>
      </w:r>
      <w:r w:rsidR="00890A19" w:rsidRPr="00D84928">
        <w:rPr>
          <w:rFonts w:ascii="Verdana" w:hAnsi="Verdana"/>
          <w:sz w:val="28"/>
          <w:szCs w:val="28"/>
        </w:rPr>
        <w:tab/>
      </w:r>
      <w:r w:rsidR="00890A19" w:rsidRPr="00D84928">
        <w:rPr>
          <w:rFonts w:ascii="Verdana" w:hAnsi="Verdana"/>
          <w:sz w:val="28"/>
          <w:szCs w:val="28"/>
        </w:rPr>
        <w:tab/>
      </w:r>
      <w:r w:rsidR="00890A19" w:rsidRPr="00D84928">
        <w:rPr>
          <w:rFonts w:ascii="Verdana" w:hAnsi="Verdana"/>
          <w:sz w:val="28"/>
          <w:szCs w:val="28"/>
        </w:rPr>
        <w:tab/>
      </w:r>
      <w:r w:rsidR="00890A19" w:rsidRPr="00D84928">
        <w:rPr>
          <w:rFonts w:ascii="Verdana" w:hAnsi="Verdana"/>
          <w:sz w:val="28"/>
          <w:szCs w:val="28"/>
        </w:rPr>
        <w:tab/>
      </w:r>
      <w:r w:rsidR="00890A19" w:rsidRPr="00D84928">
        <w:rPr>
          <w:rFonts w:ascii="Verdana" w:hAnsi="Verdana"/>
          <w:sz w:val="28"/>
          <w:szCs w:val="28"/>
        </w:rPr>
        <w:tab/>
      </w:r>
      <w:r w:rsidR="00890A19" w:rsidRPr="00D84928">
        <w:rPr>
          <w:rFonts w:ascii="Verdana" w:hAnsi="Verdana"/>
          <w:sz w:val="28"/>
          <w:szCs w:val="28"/>
        </w:rPr>
        <w:tab/>
      </w:r>
      <w:r w:rsidR="00890A19" w:rsidRPr="00D84928">
        <w:rPr>
          <w:rFonts w:ascii="Verdana" w:hAnsi="Verdana"/>
          <w:sz w:val="28"/>
          <w:szCs w:val="28"/>
        </w:rPr>
        <w:tab/>
      </w:r>
      <w:r w:rsidR="00890A19" w:rsidRPr="00D84928">
        <w:rPr>
          <w:rFonts w:ascii="Verdana" w:hAnsi="Verdana"/>
          <w:sz w:val="28"/>
          <w:szCs w:val="28"/>
        </w:rPr>
        <w:tab/>
      </w:r>
      <w:r w:rsidR="004F5434" w:rsidRPr="00D84928">
        <w:rPr>
          <w:rFonts w:ascii="Verdana" w:hAnsi="Verdana"/>
          <w:sz w:val="28"/>
          <w:szCs w:val="28"/>
        </w:rPr>
        <w:t xml:space="preserve">       </w:t>
      </w:r>
      <w:r w:rsidR="001C5F0A">
        <w:rPr>
          <w:rFonts w:ascii="Verdana" w:hAnsi="Verdana"/>
          <w:sz w:val="28"/>
          <w:szCs w:val="28"/>
        </w:rPr>
        <w:t xml:space="preserve">     </w:t>
      </w:r>
      <w:r w:rsidR="004F5434" w:rsidRPr="00D84928">
        <w:rPr>
          <w:rFonts w:ascii="Verdana" w:hAnsi="Verdana"/>
          <w:sz w:val="28"/>
          <w:szCs w:val="28"/>
        </w:rPr>
        <w:t xml:space="preserve"> </w:t>
      </w:r>
      <w:r w:rsidR="00F671B6" w:rsidRPr="00D84928">
        <w:rPr>
          <w:rFonts w:ascii="Verdana" w:hAnsi="Verdana"/>
          <w:b/>
          <w:sz w:val="28"/>
          <w:szCs w:val="28"/>
        </w:rPr>
        <w:t>DOWN</w:t>
      </w:r>
    </w:p>
    <w:p w14:paraId="1B11C3A1" w14:textId="77777777" w:rsidR="00516890" w:rsidRPr="00D84928" w:rsidRDefault="00516890" w:rsidP="00516890">
      <w:pPr>
        <w:spacing w:after="0" w:line="240" w:lineRule="auto"/>
        <w:rPr>
          <w:rFonts w:ascii="Verdana" w:hAnsi="Verdana"/>
          <w:sz w:val="28"/>
          <w:szCs w:val="28"/>
        </w:rPr>
      </w:pPr>
    </w:p>
    <w:p w14:paraId="138AA978" w14:textId="315AD883" w:rsidR="00697721" w:rsidRPr="00D84928" w:rsidRDefault="00516890" w:rsidP="00CC359A">
      <w:pPr>
        <w:tabs>
          <w:tab w:val="left" w:pos="6300"/>
        </w:tabs>
        <w:spacing w:after="0" w:line="240" w:lineRule="auto"/>
        <w:rPr>
          <w:rFonts w:ascii="Verdana" w:hAnsi="Verdana"/>
          <w:sz w:val="28"/>
          <w:szCs w:val="28"/>
        </w:rPr>
      </w:pPr>
      <w:r w:rsidRPr="00D84928">
        <w:rPr>
          <w:rFonts w:ascii="Verdana" w:hAnsi="Verdana"/>
          <w:sz w:val="28"/>
          <w:szCs w:val="28"/>
        </w:rPr>
        <w:t xml:space="preserve">Current PE is </w:t>
      </w:r>
      <w:r w:rsidR="00F671B6" w:rsidRPr="00D84928">
        <w:rPr>
          <w:rFonts w:ascii="Verdana" w:hAnsi="Verdana"/>
          <w:sz w:val="28"/>
          <w:szCs w:val="28"/>
          <w:u w:val="single"/>
        </w:rPr>
        <w:t>3</w:t>
      </w:r>
      <w:r w:rsidR="00AA085F" w:rsidRPr="00D84928">
        <w:rPr>
          <w:rFonts w:ascii="Verdana" w:hAnsi="Verdana"/>
          <w:sz w:val="28"/>
          <w:szCs w:val="28"/>
          <w:u w:val="single"/>
        </w:rPr>
        <w:t>2.5</w:t>
      </w:r>
      <w:r w:rsidR="00697721" w:rsidRPr="00D84928">
        <w:rPr>
          <w:rFonts w:ascii="Verdana" w:hAnsi="Verdana"/>
          <w:sz w:val="28"/>
          <w:szCs w:val="28"/>
        </w:rPr>
        <w:t xml:space="preserve"> </w:t>
      </w:r>
    </w:p>
    <w:p w14:paraId="499419FD" w14:textId="425D30A6" w:rsidR="00516890" w:rsidRPr="00D84928" w:rsidRDefault="00516890" w:rsidP="00516890">
      <w:pPr>
        <w:spacing w:after="0" w:line="240" w:lineRule="auto"/>
        <w:rPr>
          <w:rFonts w:ascii="Verdana" w:hAnsi="Verdana"/>
          <w:sz w:val="28"/>
          <w:szCs w:val="28"/>
        </w:rPr>
      </w:pPr>
      <w:r w:rsidRPr="00D84928">
        <w:rPr>
          <w:rFonts w:ascii="Verdana" w:hAnsi="Verdana"/>
          <w:sz w:val="28"/>
          <w:szCs w:val="28"/>
        </w:rPr>
        <w:t xml:space="preserve">Where does it fall in </w:t>
      </w:r>
      <w:r w:rsidR="00B63ADD" w:rsidRPr="00D84928">
        <w:rPr>
          <w:rFonts w:ascii="Verdana" w:hAnsi="Verdana"/>
          <w:sz w:val="28"/>
          <w:szCs w:val="28"/>
        </w:rPr>
        <w:t>my</w:t>
      </w:r>
      <w:r w:rsidRPr="00D84928">
        <w:rPr>
          <w:rFonts w:ascii="Verdana" w:hAnsi="Verdana"/>
          <w:sz w:val="28"/>
          <w:szCs w:val="28"/>
        </w:rPr>
        <w:t xml:space="preserve"> estimated</w:t>
      </w:r>
      <w:r w:rsidR="004D6EEE" w:rsidRPr="00D84928">
        <w:rPr>
          <w:rFonts w:ascii="Verdana" w:hAnsi="Verdana"/>
          <w:sz w:val="28"/>
          <w:szCs w:val="28"/>
        </w:rPr>
        <w:t xml:space="preserve"> High/low range of PE's?</w:t>
      </w:r>
      <w:r w:rsidR="00E45153" w:rsidRPr="00D84928">
        <w:rPr>
          <w:rFonts w:ascii="Verdana" w:hAnsi="Verdana"/>
          <w:sz w:val="28"/>
          <w:szCs w:val="28"/>
        </w:rPr>
        <w:t xml:space="preserve"> </w:t>
      </w:r>
      <w:r w:rsidR="00A0563A" w:rsidRPr="00D84928">
        <w:rPr>
          <w:rFonts w:ascii="Verdana" w:hAnsi="Verdana"/>
          <w:sz w:val="28"/>
          <w:szCs w:val="28"/>
        </w:rPr>
        <w:tab/>
      </w:r>
      <w:r w:rsidR="00A0563A" w:rsidRPr="00D84928">
        <w:rPr>
          <w:rFonts w:ascii="Verdana" w:hAnsi="Verdana"/>
          <w:sz w:val="28"/>
          <w:szCs w:val="28"/>
        </w:rPr>
        <w:tab/>
      </w:r>
      <w:r w:rsidR="00F671B6" w:rsidRPr="00D84928">
        <w:rPr>
          <w:rFonts w:ascii="Verdana" w:hAnsi="Verdana"/>
          <w:b/>
          <w:sz w:val="28"/>
          <w:szCs w:val="28"/>
          <w:u w:val="single"/>
        </w:rPr>
        <w:t>Slightly</w:t>
      </w:r>
      <w:r w:rsidR="000E4A40" w:rsidRPr="00D84928">
        <w:rPr>
          <w:rFonts w:ascii="Verdana" w:hAnsi="Verdana"/>
          <w:b/>
          <w:sz w:val="28"/>
          <w:szCs w:val="28"/>
          <w:u w:val="single"/>
        </w:rPr>
        <w:t xml:space="preserve"> above</w:t>
      </w:r>
      <w:r w:rsidR="00F671B6" w:rsidRPr="00D84928">
        <w:rPr>
          <w:rFonts w:ascii="Verdana" w:hAnsi="Verdana"/>
          <w:b/>
          <w:sz w:val="28"/>
          <w:szCs w:val="28"/>
          <w:u w:val="single"/>
        </w:rPr>
        <w:t xml:space="preserve"> midpoint</w:t>
      </w:r>
    </w:p>
    <w:p w14:paraId="51B5DDFE" w14:textId="77777777" w:rsidR="00B63ADD" w:rsidRPr="00D84928" w:rsidRDefault="00B63ADD" w:rsidP="00516890">
      <w:pPr>
        <w:spacing w:after="0" w:line="240" w:lineRule="auto"/>
        <w:rPr>
          <w:rFonts w:ascii="Verdana" w:hAnsi="Verdana"/>
          <w:sz w:val="28"/>
          <w:szCs w:val="28"/>
        </w:rPr>
      </w:pPr>
      <w:r w:rsidRPr="00D84928">
        <w:rPr>
          <w:rFonts w:ascii="Verdana" w:hAnsi="Verdana"/>
          <w:sz w:val="28"/>
          <w:szCs w:val="28"/>
        </w:rPr>
        <w:t>Signature PE =_</w:t>
      </w:r>
      <w:r w:rsidR="00F671B6" w:rsidRPr="00D84928">
        <w:rPr>
          <w:rFonts w:ascii="Verdana" w:hAnsi="Verdana"/>
          <w:b/>
          <w:sz w:val="28"/>
          <w:szCs w:val="28"/>
          <w:u w:val="single"/>
        </w:rPr>
        <w:t>33.3</w:t>
      </w:r>
      <w:r w:rsidRPr="00D84928">
        <w:rPr>
          <w:rFonts w:ascii="Verdana" w:hAnsi="Verdana"/>
          <w:sz w:val="28"/>
          <w:szCs w:val="28"/>
        </w:rPr>
        <w:t>________</w:t>
      </w:r>
      <w:r w:rsidR="00F671B6" w:rsidRPr="00D84928">
        <w:rPr>
          <w:rFonts w:ascii="Verdana" w:hAnsi="Verdana"/>
          <w:sz w:val="28"/>
          <w:szCs w:val="28"/>
        </w:rPr>
        <w:t xml:space="preserve"> </w:t>
      </w:r>
    </w:p>
    <w:p w14:paraId="4912465E" w14:textId="42700167" w:rsidR="00B63ADD" w:rsidRPr="00D84928" w:rsidRDefault="00B63ADD" w:rsidP="00516890">
      <w:pPr>
        <w:spacing w:after="0" w:line="240" w:lineRule="auto"/>
        <w:rPr>
          <w:rFonts w:ascii="Verdana" w:hAnsi="Verdana"/>
          <w:sz w:val="28"/>
          <w:szCs w:val="28"/>
        </w:rPr>
      </w:pPr>
      <w:r w:rsidRPr="00D84928">
        <w:rPr>
          <w:rFonts w:ascii="Verdana" w:hAnsi="Verdana"/>
          <w:sz w:val="28"/>
          <w:szCs w:val="28"/>
        </w:rPr>
        <w:t>Club cost basis for this stock is</w:t>
      </w:r>
      <w:r w:rsidR="003C0579" w:rsidRPr="00D84928">
        <w:rPr>
          <w:rFonts w:ascii="Verdana" w:hAnsi="Verdana"/>
          <w:sz w:val="28"/>
          <w:szCs w:val="28"/>
        </w:rPr>
        <w:t xml:space="preserve"> </w:t>
      </w:r>
      <w:r w:rsidR="00DF4BC3" w:rsidRPr="00D84928">
        <w:rPr>
          <w:rFonts w:ascii="Verdana" w:hAnsi="Verdana"/>
          <w:b/>
          <w:sz w:val="28"/>
          <w:szCs w:val="28"/>
          <w:u w:val="single"/>
        </w:rPr>
        <w:t>$</w:t>
      </w:r>
      <w:r w:rsidR="00625DC4" w:rsidRPr="00D84928">
        <w:rPr>
          <w:rFonts w:ascii="Verdana" w:hAnsi="Verdana"/>
          <w:b/>
          <w:sz w:val="28"/>
          <w:szCs w:val="28"/>
          <w:u w:val="single"/>
        </w:rPr>
        <w:t>5</w:t>
      </w:r>
      <w:r w:rsidR="00926DBF" w:rsidRPr="00D84928">
        <w:rPr>
          <w:rFonts w:ascii="Verdana" w:hAnsi="Verdana"/>
          <w:b/>
          <w:sz w:val="28"/>
          <w:szCs w:val="28"/>
          <w:u w:val="single"/>
        </w:rPr>
        <w:t>3</w:t>
      </w:r>
      <w:r w:rsidR="00625DC4" w:rsidRPr="00D84928">
        <w:rPr>
          <w:rFonts w:ascii="Verdana" w:hAnsi="Verdana"/>
          <w:b/>
          <w:sz w:val="28"/>
          <w:szCs w:val="28"/>
          <w:u w:val="single"/>
        </w:rPr>
        <w:t>.</w:t>
      </w:r>
      <w:r w:rsidR="00926DBF" w:rsidRPr="00D84928">
        <w:rPr>
          <w:rFonts w:ascii="Verdana" w:hAnsi="Verdana"/>
          <w:b/>
          <w:sz w:val="28"/>
          <w:szCs w:val="28"/>
          <w:u w:val="single"/>
        </w:rPr>
        <w:t>84</w:t>
      </w:r>
      <w:r w:rsidRPr="00D84928">
        <w:rPr>
          <w:rFonts w:ascii="Verdana" w:hAnsi="Verdana"/>
          <w:sz w:val="28"/>
          <w:szCs w:val="28"/>
        </w:rPr>
        <w:t xml:space="preserve">.  Current price is </w:t>
      </w:r>
      <w:r w:rsidR="00DF4BC3" w:rsidRPr="00D84928">
        <w:rPr>
          <w:rFonts w:ascii="Verdana" w:hAnsi="Verdana"/>
          <w:sz w:val="28"/>
          <w:szCs w:val="28"/>
          <w:u w:val="single"/>
        </w:rPr>
        <w:t>$</w:t>
      </w:r>
      <w:r w:rsidR="00AA085F" w:rsidRPr="00D84928">
        <w:rPr>
          <w:rFonts w:ascii="Verdana" w:hAnsi="Verdana"/>
          <w:sz w:val="28"/>
          <w:szCs w:val="28"/>
          <w:u w:val="single"/>
        </w:rPr>
        <w:t>96.23</w:t>
      </w:r>
      <w:r w:rsidR="00DF4BC3" w:rsidRPr="00D84928">
        <w:rPr>
          <w:rFonts w:ascii="Verdana" w:hAnsi="Verdana"/>
          <w:sz w:val="28"/>
          <w:szCs w:val="28"/>
          <w:u w:val="single"/>
        </w:rPr>
        <w:t xml:space="preserve"> (</w:t>
      </w:r>
      <w:r w:rsidR="000E4A40" w:rsidRPr="00D84928">
        <w:rPr>
          <w:rFonts w:ascii="Verdana" w:hAnsi="Verdana"/>
          <w:sz w:val="28"/>
          <w:szCs w:val="28"/>
          <w:u w:val="single"/>
        </w:rPr>
        <w:t>0</w:t>
      </w:r>
      <w:r w:rsidR="00AA085F" w:rsidRPr="00D84928">
        <w:rPr>
          <w:rFonts w:ascii="Verdana" w:hAnsi="Verdana"/>
          <w:sz w:val="28"/>
          <w:szCs w:val="28"/>
          <w:u w:val="single"/>
        </w:rPr>
        <w:t>9</w:t>
      </w:r>
      <w:r w:rsidR="000E4A40" w:rsidRPr="00D84928">
        <w:rPr>
          <w:rFonts w:ascii="Verdana" w:hAnsi="Verdana"/>
          <w:sz w:val="28"/>
          <w:szCs w:val="28"/>
          <w:u w:val="single"/>
        </w:rPr>
        <w:t>/</w:t>
      </w:r>
      <w:r w:rsidR="00AA085F" w:rsidRPr="00D84928">
        <w:rPr>
          <w:rFonts w:ascii="Verdana" w:hAnsi="Verdana"/>
          <w:sz w:val="28"/>
          <w:szCs w:val="28"/>
          <w:u w:val="single"/>
        </w:rPr>
        <w:t>30</w:t>
      </w:r>
      <w:r w:rsidR="00DF4BC3" w:rsidRPr="00D84928">
        <w:rPr>
          <w:rFonts w:ascii="Verdana" w:hAnsi="Verdana"/>
          <w:sz w:val="28"/>
          <w:szCs w:val="28"/>
          <w:u w:val="single"/>
        </w:rPr>
        <w:t>/</w:t>
      </w:r>
      <w:r w:rsidR="00625DC4" w:rsidRPr="00D84928">
        <w:rPr>
          <w:rFonts w:ascii="Verdana" w:hAnsi="Verdana"/>
          <w:sz w:val="28"/>
          <w:szCs w:val="28"/>
          <w:u w:val="single"/>
        </w:rPr>
        <w:t>2</w:t>
      </w:r>
      <w:r w:rsidR="00F671B6" w:rsidRPr="00D84928">
        <w:rPr>
          <w:rFonts w:ascii="Verdana" w:hAnsi="Verdana"/>
          <w:sz w:val="28"/>
          <w:szCs w:val="28"/>
          <w:u w:val="single"/>
        </w:rPr>
        <w:t>3</w:t>
      </w:r>
      <w:r w:rsidR="00404D11" w:rsidRPr="00D84928">
        <w:rPr>
          <w:rFonts w:ascii="Verdana" w:hAnsi="Verdana"/>
          <w:sz w:val="28"/>
          <w:szCs w:val="28"/>
          <w:u w:val="single"/>
        </w:rPr>
        <w:t>)</w:t>
      </w:r>
    </w:p>
    <w:p w14:paraId="5D226FF8" w14:textId="0C6DD94D" w:rsidR="00357672" w:rsidRPr="00D84928" w:rsidRDefault="00697721" w:rsidP="00357672">
      <w:pPr>
        <w:spacing w:after="0" w:line="240" w:lineRule="auto"/>
        <w:rPr>
          <w:rFonts w:ascii="Verdana" w:hAnsi="Verdana"/>
          <w:sz w:val="28"/>
          <w:szCs w:val="28"/>
        </w:rPr>
      </w:pPr>
      <w:r w:rsidRPr="00D84928">
        <w:rPr>
          <w:rFonts w:ascii="Verdana" w:hAnsi="Verdana"/>
          <w:b/>
          <w:sz w:val="28"/>
          <w:szCs w:val="28"/>
        </w:rPr>
        <w:t>Current fair value</w:t>
      </w:r>
      <w:r w:rsidR="00B63ADD" w:rsidRPr="00D84928">
        <w:rPr>
          <w:rFonts w:ascii="Verdana" w:hAnsi="Verdana"/>
          <w:sz w:val="28"/>
          <w:szCs w:val="28"/>
        </w:rPr>
        <w:t>:  Morningstar</w:t>
      </w:r>
      <w:r w:rsidR="0069112E" w:rsidRPr="00D84928">
        <w:rPr>
          <w:rFonts w:ascii="Verdana" w:hAnsi="Verdana"/>
          <w:sz w:val="28"/>
          <w:szCs w:val="28"/>
        </w:rPr>
        <w:t xml:space="preserve"> </w:t>
      </w:r>
      <w:r w:rsidR="00AA085F" w:rsidRPr="00D84928">
        <w:rPr>
          <w:rFonts w:ascii="Verdana" w:hAnsi="Verdana"/>
          <w:sz w:val="28"/>
          <w:szCs w:val="28"/>
        </w:rPr>
        <w:t>3</w:t>
      </w:r>
      <w:r w:rsidR="0069112E" w:rsidRPr="00D84928">
        <w:rPr>
          <w:rFonts w:ascii="Verdana" w:hAnsi="Verdana"/>
          <w:sz w:val="28"/>
          <w:szCs w:val="28"/>
        </w:rPr>
        <w:t>***</w:t>
      </w:r>
      <w:r w:rsidR="00B63ADD" w:rsidRPr="00D84928">
        <w:rPr>
          <w:rFonts w:ascii="Verdana" w:hAnsi="Verdana"/>
          <w:sz w:val="28"/>
          <w:szCs w:val="28"/>
        </w:rPr>
        <w:t>:</w:t>
      </w:r>
      <w:r w:rsidR="003C0579" w:rsidRPr="00D84928">
        <w:rPr>
          <w:rFonts w:ascii="Verdana" w:hAnsi="Verdana"/>
          <w:sz w:val="28"/>
          <w:szCs w:val="28"/>
        </w:rPr>
        <w:t xml:space="preserve"> </w:t>
      </w:r>
      <w:r w:rsidR="0086485E" w:rsidRPr="00D84928">
        <w:rPr>
          <w:rFonts w:ascii="Verdana" w:hAnsi="Verdana"/>
          <w:sz w:val="28"/>
          <w:szCs w:val="28"/>
          <w:u w:val="single"/>
        </w:rPr>
        <w:t>$</w:t>
      </w:r>
      <w:r w:rsidR="0069112E" w:rsidRPr="00D84928">
        <w:rPr>
          <w:rFonts w:ascii="Verdana" w:hAnsi="Verdana"/>
          <w:sz w:val="28"/>
          <w:szCs w:val="28"/>
          <w:u w:val="single"/>
        </w:rPr>
        <w:t>1</w:t>
      </w:r>
      <w:r w:rsidR="00AA085F" w:rsidRPr="00D84928">
        <w:rPr>
          <w:rFonts w:ascii="Verdana" w:hAnsi="Verdana"/>
          <w:sz w:val="28"/>
          <w:szCs w:val="28"/>
          <w:u w:val="single"/>
        </w:rPr>
        <w:t>37.70</w:t>
      </w:r>
      <w:r w:rsidR="00B63ADD" w:rsidRPr="00D84928">
        <w:rPr>
          <w:rFonts w:ascii="Verdana" w:hAnsi="Verdana"/>
          <w:sz w:val="28"/>
          <w:szCs w:val="28"/>
        </w:rPr>
        <w:t xml:space="preserve">         </w:t>
      </w:r>
      <w:r w:rsidR="00357672" w:rsidRPr="00D84928">
        <w:rPr>
          <w:rFonts w:ascii="Verdana" w:hAnsi="Verdana"/>
          <w:sz w:val="28"/>
          <w:szCs w:val="28"/>
        </w:rPr>
        <w:t>S&amp;P:</w:t>
      </w:r>
      <w:r w:rsidR="003C0579" w:rsidRPr="00D84928">
        <w:rPr>
          <w:rFonts w:ascii="Verdana" w:hAnsi="Verdana"/>
          <w:sz w:val="28"/>
          <w:szCs w:val="28"/>
          <w:u w:val="single"/>
        </w:rPr>
        <w:t xml:space="preserve"> </w:t>
      </w:r>
      <w:r w:rsidR="00BE7585" w:rsidRPr="00D84928">
        <w:rPr>
          <w:rFonts w:ascii="Verdana" w:hAnsi="Verdana"/>
          <w:sz w:val="28"/>
          <w:szCs w:val="28"/>
          <w:u w:val="single"/>
        </w:rPr>
        <w:t>$</w:t>
      </w:r>
      <w:r w:rsidR="00CC359A" w:rsidRPr="00D84928">
        <w:rPr>
          <w:rFonts w:ascii="Verdana" w:hAnsi="Verdana"/>
          <w:sz w:val="28"/>
          <w:szCs w:val="28"/>
          <w:u w:val="single"/>
        </w:rPr>
        <w:t>-</w:t>
      </w:r>
      <w:r w:rsidR="003335BE" w:rsidRPr="00D84928">
        <w:rPr>
          <w:rFonts w:ascii="Verdana" w:hAnsi="Verdana"/>
          <w:sz w:val="28"/>
          <w:szCs w:val="28"/>
        </w:rPr>
        <w:tab/>
      </w:r>
      <w:r w:rsidR="00357672" w:rsidRPr="00D84928">
        <w:rPr>
          <w:rFonts w:ascii="Verdana" w:hAnsi="Verdana"/>
          <w:sz w:val="28"/>
          <w:szCs w:val="28"/>
        </w:rPr>
        <w:t xml:space="preserve">Value Line: </w:t>
      </w:r>
      <w:r w:rsidR="00357672" w:rsidRPr="00D84928">
        <w:rPr>
          <w:rFonts w:ascii="Verdana" w:hAnsi="Verdana"/>
          <w:sz w:val="28"/>
          <w:szCs w:val="28"/>
          <w:u w:val="single"/>
        </w:rPr>
        <w:t>$</w:t>
      </w:r>
      <w:r w:rsidR="000E4A40" w:rsidRPr="00D84928">
        <w:rPr>
          <w:rFonts w:ascii="Verdana" w:hAnsi="Verdana"/>
          <w:sz w:val="28"/>
          <w:szCs w:val="28"/>
          <w:u w:val="single"/>
        </w:rPr>
        <w:t>1</w:t>
      </w:r>
      <w:r w:rsidR="00AA085F" w:rsidRPr="00D84928">
        <w:rPr>
          <w:rFonts w:ascii="Verdana" w:hAnsi="Verdana"/>
          <w:sz w:val="28"/>
          <w:szCs w:val="28"/>
          <w:u w:val="single"/>
        </w:rPr>
        <w:t>9</w:t>
      </w:r>
      <w:r w:rsidR="000E4A40" w:rsidRPr="00D84928">
        <w:rPr>
          <w:rFonts w:ascii="Verdana" w:hAnsi="Verdana"/>
          <w:sz w:val="28"/>
          <w:szCs w:val="28"/>
          <w:u w:val="single"/>
        </w:rPr>
        <w:t>0</w:t>
      </w:r>
    </w:p>
    <w:p w14:paraId="0D2E658C" w14:textId="6BB86BE8" w:rsidR="00B63ADD" w:rsidRPr="00D84928" w:rsidRDefault="00B63ADD" w:rsidP="00516890">
      <w:pPr>
        <w:spacing w:after="0" w:line="240" w:lineRule="auto"/>
        <w:rPr>
          <w:rFonts w:ascii="Verdana" w:hAnsi="Verdana"/>
          <w:sz w:val="28"/>
          <w:szCs w:val="28"/>
        </w:rPr>
      </w:pPr>
      <w:r w:rsidRPr="00D84928">
        <w:rPr>
          <w:rFonts w:ascii="Verdana" w:hAnsi="Verdana"/>
          <w:b/>
          <w:sz w:val="28"/>
          <w:szCs w:val="28"/>
        </w:rPr>
        <w:t>My SSG Tot</w:t>
      </w:r>
      <w:r w:rsidR="007E63BB" w:rsidRPr="00D84928">
        <w:rPr>
          <w:rFonts w:ascii="Verdana" w:hAnsi="Verdana"/>
          <w:b/>
          <w:sz w:val="28"/>
          <w:szCs w:val="28"/>
        </w:rPr>
        <w:t>al Return</w:t>
      </w:r>
      <w:r w:rsidR="007E63BB" w:rsidRPr="00D84928">
        <w:rPr>
          <w:rFonts w:ascii="Verdana" w:hAnsi="Verdana"/>
          <w:sz w:val="28"/>
          <w:szCs w:val="28"/>
        </w:rPr>
        <w:t xml:space="preserve"> is </w:t>
      </w:r>
      <w:r w:rsidR="00BE7585" w:rsidRPr="00D84928">
        <w:rPr>
          <w:rFonts w:ascii="Verdana" w:hAnsi="Verdana"/>
          <w:sz w:val="28"/>
          <w:szCs w:val="28"/>
        </w:rPr>
        <w:t>_</w:t>
      </w:r>
      <w:r w:rsidR="007E63BB" w:rsidRPr="00D84928">
        <w:rPr>
          <w:rFonts w:ascii="Verdana" w:hAnsi="Verdana"/>
          <w:sz w:val="28"/>
          <w:szCs w:val="28"/>
        </w:rPr>
        <w:t>__</w:t>
      </w:r>
      <w:r w:rsidR="00F671B6" w:rsidRPr="00D84928">
        <w:rPr>
          <w:rFonts w:ascii="Verdana" w:hAnsi="Verdana"/>
          <w:sz w:val="28"/>
          <w:szCs w:val="28"/>
          <w:u w:val="single"/>
        </w:rPr>
        <w:t>1</w:t>
      </w:r>
      <w:r w:rsidR="00AA085F" w:rsidRPr="00D84928">
        <w:rPr>
          <w:rFonts w:ascii="Verdana" w:hAnsi="Verdana"/>
          <w:sz w:val="28"/>
          <w:szCs w:val="28"/>
          <w:u w:val="single"/>
        </w:rPr>
        <w:t>4.7</w:t>
      </w:r>
      <w:r w:rsidR="000E4A40" w:rsidRPr="00D84928">
        <w:rPr>
          <w:rFonts w:ascii="Verdana" w:hAnsi="Verdana"/>
          <w:sz w:val="28"/>
          <w:szCs w:val="28"/>
          <w:u w:val="single"/>
        </w:rPr>
        <w:t>%</w:t>
      </w:r>
      <w:r w:rsidR="006E79A1" w:rsidRPr="00D84928">
        <w:rPr>
          <w:rFonts w:ascii="Verdana" w:hAnsi="Verdana"/>
          <w:sz w:val="28"/>
          <w:szCs w:val="28"/>
        </w:rPr>
        <w:t>_</w:t>
      </w:r>
      <w:r w:rsidR="00404D11" w:rsidRPr="00D84928">
        <w:rPr>
          <w:rFonts w:ascii="Verdana" w:hAnsi="Verdana"/>
          <w:sz w:val="28"/>
          <w:szCs w:val="28"/>
        </w:rPr>
        <w:t>_ Projected</w:t>
      </w:r>
      <w:r w:rsidRPr="00D84928">
        <w:rPr>
          <w:rFonts w:ascii="Verdana" w:hAnsi="Verdana"/>
          <w:sz w:val="28"/>
          <w:szCs w:val="28"/>
        </w:rPr>
        <w:t xml:space="preserve"> Average Return is </w:t>
      </w:r>
      <w:r w:rsidR="00AA085F" w:rsidRPr="00D84928">
        <w:rPr>
          <w:rFonts w:ascii="Verdana" w:hAnsi="Verdana"/>
          <w:sz w:val="28"/>
          <w:szCs w:val="28"/>
          <w:u w:val="single"/>
        </w:rPr>
        <w:t>12.8</w:t>
      </w:r>
      <w:r w:rsidR="006E79A1" w:rsidRPr="00D84928">
        <w:rPr>
          <w:rFonts w:ascii="Verdana" w:hAnsi="Verdana"/>
          <w:sz w:val="28"/>
          <w:szCs w:val="28"/>
          <w:u w:val="single"/>
        </w:rPr>
        <w:t>%</w:t>
      </w:r>
    </w:p>
    <w:p w14:paraId="47FA6747" w14:textId="77777777" w:rsidR="00B63ADD" w:rsidRPr="00D84928" w:rsidRDefault="00B63ADD" w:rsidP="00516890">
      <w:pPr>
        <w:spacing w:after="0" w:line="240" w:lineRule="auto"/>
        <w:rPr>
          <w:rFonts w:ascii="Verdana" w:hAnsi="Verdana"/>
          <w:sz w:val="28"/>
          <w:szCs w:val="28"/>
        </w:rPr>
      </w:pPr>
    </w:p>
    <w:p w14:paraId="2A1DBDCF" w14:textId="7CA5A5DF" w:rsidR="008B42A3" w:rsidRPr="00D84928" w:rsidRDefault="008B42A3" w:rsidP="004F5434">
      <w:pPr>
        <w:shd w:val="clear" w:color="auto" w:fill="FFFFFF"/>
        <w:spacing w:after="0" w:line="240" w:lineRule="auto"/>
        <w:rPr>
          <w:rFonts w:ascii="Verdana" w:eastAsia="Times New Roman" w:hAnsi="Verdana" w:cs="Helvetica"/>
          <w:color w:val="1E1E1E"/>
          <w:sz w:val="28"/>
          <w:szCs w:val="28"/>
        </w:rPr>
      </w:pPr>
    </w:p>
    <w:p w14:paraId="0473CAE6" w14:textId="2424D0A7" w:rsidR="000850B0" w:rsidRPr="00D84928" w:rsidRDefault="00A2296A" w:rsidP="000850B0">
      <w:pPr>
        <w:autoSpaceDE w:val="0"/>
        <w:autoSpaceDN w:val="0"/>
        <w:adjustRightInd w:val="0"/>
        <w:spacing w:after="0" w:line="240" w:lineRule="auto"/>
        <w:rPr>
          <w:rFonts w:ascii="Verdana" w:hAnsi="Verdana" w:cs="Cambria"/>
          <w:sz w:val="28"/>
          <w:szCs w:val="28"/>
        </w:rPr>
      </w:pPr>
      <w:r w:rsidRPr="00D84928">
        <w:rPr>
          <w:rFonts w:ascii="Verdana" w:hAnsi="Verdana" w:cs="Cambria-Bold"/>
          <w:b/>
          <w:bCs/>
          <w:sz w:val="28"/>
          <w:szCs w:val="28"/>
        </w:rPr>
        <w:t xml:space="preserve">NV5 Global </w:t>
      </w:r>
      <w:r w:rsidRPr="00D84928">
        <w:rPr>
          <w:rFonts w:ascii="Verdana" w:hAnsi="Verdana" w:cs="Cambria"/>
          <w:sz w:val="28"/>
          <w:szCs w:val="28"/>
        </w:rPr>
        <w:t>is a provider of professional and technical engineering and consulting solutions</w:t>
      </w:r>
      <w:r w:rsidR="00380E92" w:rsidRPr="00D84928">
        <w:rPr>
          <w:rFonts w:ascii="Verdana" w:hAnsi="Verdana" w:cs="Cambria"/>
          <w:sz w:val="28"/>
          <w:szCs w:val="28"/>
        </w:rPr>
        <w:t xml:space="preserve"> </w:t>
      </w:r>
      <w:r w:rsidRPr="00D84928">
        <w:rPr>
          <w:rFonts w:ascii="Verdana" w:hAnsi="Verdana" w:cs="Cambria"/>
          <w:sz w:val="28"/>
          <w:szCs w:val="28"/>
        </w:rPr>
        <w:t>to public and private sector clients. The</w:t>
      </w:r>
      <w:r w:rsidR="00380E92" w:rsidRPr="00D84928">
        <w:rPr>
          <w:rFonts w:ascii="Verdana" w:hAnsi="Verdana" w:cs="Cambria"/>
          <w:sz w:val="28"/>
          <w:szCs w:val="28"/>
        </w:rPr>
        <w:t xml:space="preserve"> </w:t>
      </w:r>
      <w:r w:rsidRPr="00D84928">
        <w:rPr>
          <w:rFonts w:ascii="Verdana" w:hAnsi="Verdana" w:cs="Cambria"/>
          <w:sz w:val="28"/>
          <w:szCs w:val="28"/>
        </w:rPr>
        <w:t>company serves the infrastructure, energy,</w:t>
      </w:r>
      <w:r w:rsidR="00380E92" w:rsidRPr="00D84928">
        <w:rPr>
          <w:rFonts w:ascii="Verdana" w:hAnsi="Verdana" w:cs="Cambria"/>
          <w:sz w:val="28"/>
          <w:szCs w:val="28"/>
        </w:rPr>
        <w:t xml:space="preserve"> </w:t>
      </w:r>
      <w:r w:rsidRPr="00D84928">
        <w:rPr>
          <w:rFonts w:ascii="Verdana" w:hAnsi="Verdana" w:cs="Cambria"/>
          <w:sz w:val="28"/>
          <w:szCs w:val="28"/>
        </w:rPr>
        <w:t>construction, real estate, and environmental</w:t>
      </w:r>
      <w:r w:rsidR="00380E92" w:rsidRPr="00D84928">
        <w:rPr>
          <w:rFonts w:ascii="Verdana" w:hAnsi="Verdana" w:cs="Cambria"/>
          <w:sz w:val="28"/>
          <w:szCs w:val="28"/>
        </w:rPr>
        <w:t xml:space="preserve"> </w:t>
      </w:r>
      <w:r w:rsidRPr="00D84928">
        <w:rPr>
          <w:rFonts w:ascii="Verdana" w:hAnsi="Verdana" w:cs="Cambria"/>
          <w:sz w:val="28"/>
          <w:szCs w:val="28"/>
        </w:rPr>
        <w:t xml:space="preserve">markets. </w:t>
      </w:r>
      <w:r w:rsidRPr="00D84928">
        <w:rPr>
          <w:rFonts w:ascii="Verdana" w:hAnsi="Verdana" w:cs="Cambria-Bold"/>
          <w:b/>
          <w:bCs/>
          <w:sz w:val="28"/>
          <w:szCs w:val="28"/>
        </w:rPr>
        <w:t xml:space="preserve">NV5 </w:t>
      </w:r>
      <w:r w:rsidRPr="00D84928">
        <w:rPr>
          <w:rFonts w:ascii="Verdana" w:hAnsi="Verdana" w:cs="Cambria"/>
          <w:sz w:val="28"/>
          <w:szCs w:val="28"/>
        </w:rPr>
        <w:t>primarily focuses on six business</w:t>
      </w:r>
      <w:r w:rsidR="00380E92" w:rsidRPr="00D84928">
        <w:rPr>
          <w:rFonts w:ascii="Verdana" w:hAnsi="Verdana" w:cs="Cambria"/>
          <w:sz w:val="28"/>
          <w:szCs w:val="28"/>
        </w:rPr>
        <w:t xml:space="preserve"> </w:t>
      </w:r>
      <w:r w:rsidRPr="00D84928">
        <w:rPr>
          <w:rFonts w:ascii="Verdana" w:hAnsi="Verdana" w:cs="Cambria"/>
          <w:sz w:val="28"/>
          <w:szCs w:val="28"/>
        </w:rPr>
        <w:t>verticals: infrastructure; buildings and</w:t>
      </w:r>
      <w:r w:rsidR="00AA085F" w:rsidRPr="00D84928">
        <w:rPr>
          <w:rFonts w:ascii="Verdana" w:hAnsi="Verdana" w:cs="Cambria"/>
          <w:sz w:val="28"/>
          <w:szCs w:val="28"/>
        </w:rPr>
        <w:t xml:space="preserve"> </w:t>
      </w:r>
      <w:r w:rsidRPr="00D84928">
        <w:rPr>
          <w:rFonts w:ascii="Verdana" w:hAnsi="Verdana" w:cs="Cambria"/>
          <w:sz w:val="28"/>
          <w:szCs w:val="28"/>
        </w:rPr>
        <w:t>program management; environmental health</w:t>
      </w:r>
      <w:r w:rsidR="00380E92" w:rsidRPr="00D84928">
        <w:rPr>
          <w:rFonts w:ascii="Verdana" w:hAnsi="Verdana" w:cs="Cambria"/>
          <w:sz w:val="28"/>
          <w:szCs w:val="28"/>
        </w:rPr>
        <w:t xml:space="preserve"> </w:t>
      </w:r>
      <w:r w:rsidRPr="00D84928">
        <w:rPr>
          <w:rFonts w:ascii="Verdana" w:hAnsi="Verdana" w:cs="Cambria"/>
          <w:sz w:val="28"/>
          <w:szCs w:val="28"/>
        </w:rPr>
        <w:t>sciences; geospatial technology; utility services;</w:t>
      </w:r>
      <w:r w:rsidR="00380E92" w:rsidRPr="00D84928">
        <w:rPr>
          <w:rFonts w:ascii="Verdana" w:hAnsi="Verdana" w:cs="Cambria"/>
          <w:sz w:val="28"/>
          <w:szCs w:val="28"/>
        </w:rPr>
        <w:t xml:space="preserve"> </w:t>
      </w:r>
      <w:r w:rsidRPr="00D84928">
        <w:rPr>
          <w:rFonts w:ascii="Verdana" w:hAnsi="Verdana" w:cs="Cambria"/>
          <w:sz w:val="28"/>
          <w:szCs w:val="28"/>
        </w:rPr>
        <w:t>and testing, inspection, and consulting.</w:t>
      </w:r>
      <w:r w:rsidR="00A871D8" w:rsidRPr="00D84928">
        <w:rPr>
          <w:rFonts w:ascii="Verdana" w:hAnsi="Verdana" w:cs="Cambria"/>
          <w:sz w:val="28"/>
          <w:szCs w:val="28"/>
        </w:rPr>
        <w:t xml:space="preserve"> </w:t>
      </w:r>
      <w:r w:rsidR="00380E92" w:rsidRPr="00D84928">
        <w:rPr>
          <w:rFonts w:ascii="Verdana" w:hAnsi="Verdana" w:cs="Cambria"/>
          <w:sz w:val="28"/>
          <w:szCs w:val="28"/>
        </w:rPr>
        <w:t>The company operates out of more than 115 locations nationwide and in Macau, Hong Kong, and the UAE. The company HQ is in Hollywood, Fla</w:t>
      </w:r>
    </w:p>
    <w:p w14:paraId="36D06DC5" w14:textId="77777777" w:rsidR="001B7DDA" w:rsidRPr="00D84928" w:rsidRDefault="001B7DDA" w:rsidP="000850B0">
      <w:pPr>
        <w:autoSpaceDE w:val="0"/>
        <w:autoSpaceDN w:val="0"/>
        <w:adjustRightInd w:val="0"/>
        <w:spacing w:after="0" w:line="240" w:lineRule="auto"/>
        <w:rPr>
          <w:rFonts w:ascii="Verdana" w:hAnsi="Verdana" w:cs="Cambria"/>
          <w:b/>
          <w:sz w:val="28"/>
          <w:szCs w:val="28"/>
        </w:rPr>
      </w:pPr>
    </w:p>
    <w:p w14:paraId="34FDF4EA" w14:textId="77777777" w:rsidR="004F5434" w:rsidRPr="00D84928" w:rsidRDefault="004F5434" w:rsidP="004F5434">
      <w:pPr>
        <w:shd w:val="clear" w:color="auto" w:fill="FFFFFF"/>
        <w:spacing w:after="192" w:line="240" w:lineRule="auto"/>
        <w:rPr>
          <w:rFonts w:ascii="Verdana" w:hAnsi="Verdana"/>
          <w:sz w:val="28"/>
          <w:szCs w:val="28"/>
        </w:rPr>
      </w:pPr>
      <w:r w:rsidRPr="00D84928">
        <w:rPr>
          <w:rFonts w:ascii="Verdana" w:hAnsi="Verdana" w:cs="Cambria"/>
          <w:b/>
          <w:sz w:val="28"/>
          <w:szCs w:val="28"/>
        </w:rPr>
        <w:t>Value Line</w:t>
      </w:r>
      <w:r w:rsidRPr="00D84928">
        <w:rPr>
          <w:rFonts w:ascii="Verdana" w:hAnsi="Verdana" w:cs="Cambria"/>
          <w:sz w:val="28"/>
          <w:szCs w:val="28"/>
        </w:rPr>
        <w:t xml:space="preserve"> </w:t>
      </w:r>
      <w:r w:rsidRPr="00D84928">
        <w:rPr>
          <w:rFonts w:ascii="Verdana" w:hAnsi="Verdana"/>
          <w:sz w:val="28"/>
          <w:szCs w:val="28"/>
        </w:rPr>
        <w:t>NV5 Global’s Geospatial (GEO) busi</w:t>
      </w:r>
      <w:r w:rsidRPr="00D84928">
        <w:rPr>
          <w:rFonts w:ascii="Verdana" w:hAnsi="Verdana"/>
          <w:sz w:val="28"/>
          <w:szCs w:val="28"/>
        </w:rPr>
        <w:t>ness remains in rapid growth mode. The provider of professional and technical engineering and consulting solutions’ June-quarter revenues advanced 10%, year over year, thanks to meaningful suc</w:t>
      </w:r>
      <w:r w:rsidRPr="00D84928">
        <w:rPr>
          <w:rFonts w:ascii="Verdana" w:hAnsi="Verdana"/>
          <w:sz w:val="28"/>
          <w:szCs w:val="28"/>
        </w:rPr>
        <w:t>cess across the fast-growing GEO unit which now accounts for 32% of total reve</w:t>
      </w:r>
      <w:r w:rsidRPr="00D84928">
        <w:rPr>
          <w:rFonts w:ascii="Verdana" w:hAnsi="Verdana"/>
          <w:sz w:val="28"/>
          <w:szCs w:val="28"/>
        </w:rPr>
        <w:t>nue compared to 19% in the year-ago peri</w:t>
      </w:r>
      <w:r w:rsidRPr="00D84928">
        <w:rPr>
          <w:rFonts w:ascii="Verdana" w:hAnsi="Verdana"/>
          <w:sz w:val="28"/>
          <w:szCs w:val="28"/>
        </w:rPr>
        <w:t xml:space="preserve">od. </w:t>
      </w:r>
    </w:p>
    <w:p w14:paraId="0DA97E37" w14:textId="77777777" w:rsidR="004F5434" w:rsidRPr="00D84928" w:rsidRDefault="004F5434" w:rsidP="004F5434">
      <w:pPr>
        <w:shd w:val="clear" w:color="auto" w:fill="FFFFFF"/>
        <w:spacing w:after="192" w:line="240" w:lineRule="auto"/>
        <w:rPr>
          <w:rFonts w:ascii="Verdana" w:hAnsi="Verdana"/>
          <w:sz w:val="28"/>
          <w:szCs w:val="28"/>
        </w:rPr>
      </w:pPr>
      <w:r w:rsidRPr="00D84928">
        <w:rPr>
          <w:rFonts w:ascii="Verdana" w:hAnsi="Verdana"/>
          <w:sz w:val="28"/>
          <w:szCs w:val="28"/>
        </w:rPr>
        <w:t>Profits are set to be less inspiring for the year. The second-quarter bottom line figure of $1.00 a share came in 12% below the previous-year period, albeit a nice ad</w:t>
      </w:r>
      <w:r w:rsidRPr="00D84928">
        <w:rPr>
          <w:rFonts w:ascii="Verdana" w:hAnsi="Verdana"/>
          <w:sz w:val="28"/>
          <w:szCs w:val="28"/>
        </w:rPr>
        <w:t>vance from our forecast of $0.70 a share.</w:t>
      </w:r>
    </w:p>
    <w:p w14:paraId="3A5BC937" w14:textId="77777777" w:rsidR="004F5434" w:rsidRPr="00D84928" w:rsidRDefault="004F5434" w:rsidP="004F5434">
      <w:pPr>
        <w:shd w:val="clear" w:color="auto" w:fill="FFFFFF"/>
        <w:spacing w:after="192" w:line="240" w:lineRule="auto"/>
        <w:rPr>
          <w:rFonts w:ascii="Verdana" w:hAnsi="Verdana"/>
          <w:sz w:val="28"/>
          <w:szCs w:val="28"/>
        </w:rPr>
      </w:pPr>
      <w:r w:rsidRPr="00D84928">
        <w:rPr>
          <w:rFonts w:ascii="Verdana" w:hAnsi="Verdana"/>
          <w:sz w:val="28"/>
          <w:szCs w:val="28"/>
        </w:rPr>
        <w:t>We have raised our full-year 2023 share earnings estimate by a dime to $3.30 but still look for some unevenness on a year-over-year basis, reflecting heavy growth-related investments. The company intends to spend on several public sector projects in tandem with recent infrastruc</w:t>
      </w:r>
      <w:r w:rsidRPr="00D84928">
        <w:rPr>
          <w:rFonts w:ascii="Verdana" w:hAnsi="Verdana"/>
          <w:sz w:val="28"/>
          <w:szCs w:val="28"/>
        </w:rPr>
        <w:t>ture bills</w:t>
      </w:r>
    </w:p>
    <w:p w14:paraId="6E431686" w14:textId="77777777" w:rsidR="004F5434" w:rsidRPr="00D84928" w:rsidRDefault="004F5434" w:rsidP="004F5434">
      <w:pPr>
        <w:shd w:val="clear" w:color="auto" w:fill="FFFFFF"/>
        <w:spacing w:after="192" w:line="240" w:lineRule="auto"/>
        <w:rPr>
          <w:rFonts w:ascii="Verdana" w:hAnsi="Verdana"/>
          <w:sz w:val="28"/>
          <w:szCs w:val="28"/>
        </w:rPr>
      </w:pPr>
      <w:r w:rsidRPr="00D84928">
        <w:rPr>
          <w:rFonts w:ascii="Verdana" w:hAnsi="Verdana"/>
          <w:sz w:val="28"/>
          <w:szCs w:val="28"/>
        </w:rPr>
        <w:t>One objective is to solidify its global data center presence, with support from the August acquisition of Red Tech</w:t>
      </w:r>
      <w:r w:rsidRPr="00D84928">
        <w:rPr>
          <w:rFonts w:ascii="Verdana" w:hAnsi="Verdana"/>
          <w:sz w:val="28"/>
          <w:szCs w:val="28"/>
        </w:rPr>
        <w:t xml:space="preserve">nologies that should enhance NV5’s presence in the Asia/Pacific region. These shares are ranked to lag the broader market in the year ahead. The stock has limited appeal for the 2026-2028 stretch. Our projections, though, may prove conservative if new projects and M&amp;A opportunities arise. That said, 18- month appreciation potential is solid. </w:t>
      </w:r>
    </w:p>
    <w:p w14:paraId="1EC400D4" w14:textId="77777777" w:rsidR="004F5434" w:rsidRPr="00D84928" w:rsidRDefault="004F5434" w:rsidP="004F5434">
      <w:pPr>
        <w:shd w:val="clear" w:color="auto" w:fill="FFFFFF"/>
        <w:spacing w:after="192" w:line="240" w:lineRule="auto"/>
        <w:rPr>
          <w:rFonts w:ascii="Verdana" w:hAnsi="Verdana"/>
          <w:sz w:val="28"/>
          <w:szCs w:val="28"/>
        </w:rPr>
      </w:pPr>
      <w:r w:rsidRPr="00D84928">
        <w:rPr>
          <w:rFonts w:ascii="Verdana" w:hAnsi="Verdana"/>
          <w:sz w:val="28"/>
          <w:szCs w:val="28"/>
        </w:rPr>
        <w:drawing>
          <wp:inline distT="0" distB="0" distL="0" distR="0" wp14:anchorId="60607917" wp14:editId="70124A68">
            <wp:extent cx="2159111" cy="501676"/>
            <wp:effectExtent l="0" t="0" r="0" b="0"/>
            <wp:docPr id="1900795827" name="Picture 1900795827"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884505" name="Picture 1" descr="A black text on a white background&#10;&#10;Description automatically generated"/>
                    <pic:cNvPicPr/>
                  </pic:nvPicPr>
                  <pic:blipFill>
                    <a:blip r:embed="rId6"/>
                    <a:stretch>
                      <a:fillRect/>
                    </a:stretch>
                  </pic:blipFill>
                  <pic:spPr>
                    <a:xfrm>
                      <a:off x="0" y="0"/>
                      <a:ext cx="2159111" cy="501676"/>
                    </a:xfrm>
                    <a:prstGeom prst="rect">
                      <a:avLst/>
                    </a:prstGeom>
                  </pic:spPr>
                </pic:pic>
              </a:graphicData>
            </a:graphic>
          </wp:inline>
        </w:drawing>
      </w:r>
    </w:p>
    <w:p w14:paraId="4EB546FE" w14:textId="77777777" w:rsidR="004F5434" w:rsidRPr="00D84928" w:rsidRDefault="004F5434" w:rsidP="000850B0">
      <w:pPr>
        <w:autoSpaceDE w:val="0"/>
        <w:autoSpaceDN w:val="0"/>
        <w:adjustRightInd w:val="0"/>
        <w:spacing w:after="0" w:line="240" w:lineRule="auto"/>
        <w:rPr>
          <w:rFonts w:ascii="Verdana" w:hAnsi="Verdana" w:cs="Cambria"/>
          <w:b/>
          <w:sz w:val="28"/>
          <w:szCs w:val="28"/>
        </w:rPr>
      </w:pPr>
    </w:p>
    <w:p w14:paraId="674DF6B2" w14:textId="77777777" w:rsidR="004F5434" w:rsidRPr="00D84928" w:rsidRDefault="004F5434" w:rsidP="000850B0">
      <w:pPr>
        <w:autoSpaceDE w:val="0"/>
        <w:autoSpaceDN w:val="0"/>
        <w:adjustRightInd w:val="0"/>
        <w:spacing w:after="0" w:line="240" w:lineRule="auto"/>
        <w:rPr>
          <w:rFonts w:ascii="Verdana" w:hAnsi="Verdana" w:cs="Cambria"/>
          <w:b/>
          <w:sz w:val="28"/>
          <w:szCs w:val="28"/>
        </w:rPr>
      </w:pPr>
    </w:p>
    <w:p w14:paraId="79621353" w14:textId="77777777" w:rsidR="004F5434" w:rsidRPr="00D84928" w:rsidRDefault="004F5434" w:rsidP="004F5434">
      <w:pPr>
        <w:spacing w:after="0" w:line="240" w:lineRule="auto"/>
        <w:rPr>
          <w:rFonts w:ascii="Verdana" w:hAnsi="Verdana"/>
          <w:b/>
          <w:sz w:val="28"/>
          <w:szCs w:val="28"/>
        </w:rPr>
      </w:pPr>
      <w:r w:rsidRPr="00D84928">
        <w:rPr>
          <w:rFonts w:ascii="Verdana" w:hAnsi="Verdana"/>
          <w:b/>
          <w:sz w:val="28"/>
          <w:szCs w:val="28"/>
        </w:rPr>
        <w:t>What will drive future growth?</w:t>
      </w:r>
    </w:p>
    <w:p w14:paraId="1FC12F1C" w14:textId="77777777" w:rsidR="00910534" w:rsidRDefault="00910534" w:rsidP="000F624A">
      <w:pPr>
        <w:pStyle w:val="NormalWeb"/>
        <w:rPr>
          <w:rFonts w:ascii="Verdana" w:hAnsi="Verdana" w:cs="Cambria"/>
          <w:b/>
          <w:sz w:val="28"/>
          <w:szCs w:val="28"/>
        </w:rPr>
      </w:pPr>
      <w:r w:rsidRPr="00D84928">
        <w:rPr>
          <w:rFonts w:ascii="Verdana" w:hAnsi="Verdana" w:cs="Cambria"/>
          <w:b/>
          <w:sz w:val="28"/>
          <w:szCs w:val="28"/>
        </w:rPr>
        <w:t xml:space="preserve">News </w:t>
      </w:r>
    </w:p>
    <w:p w14:paraId="3C3659B5" w14:textId="117F8BCA" w:rsidR="000F624A" w:rsidRPr="00D84928" w:rsidRDefault="00910534" w:rsidP="000F624A">
      <w:pPr>
        <w:pStyle w:val="NormalWeb"/>
        <w:rPr>
          <w:rFonts w:ascii="Roboto" w:hAnsi="Roboto"/>
          <w:color w:val="333333"/>
          <w:sz w:val="28"/>
          <w:szCs w:val="28"/>
        </w:rPr>
      </w:pPr>
      <w:r>
        <w:rPr>
          <w:rFonts w:ascii="Roboto" w:hAnsi="Roboto"/>
          <w:color w:val="333333"/>
          <w:sz w:val="28"/>
          <w:szCs w:val="28"/>
        </w:rPr>
        <w:t>I</w:t>
      </w:r>
      <w:r w:rsidRPr="00D84928">
        <w:rPr>
          <w:rFonts w:ascii="Roboto" w:hAnsi="Roboto"/>
          <w:color w:val="333333"/>
          <w:sz w:val="28"/>
          <w:szCs w:val="28"/>
        </w:rPr>
        <w:t>t</w:t>
      </w:r>
      <w:r w:rsidR="000F624A" w:rsidRPr="00D84928">
        <w:rPr>
          <w:rFonts w:ascii="Roboto" w:hAnsi="Roboto"/>
          <w:color w:val="333333"/>
          <w:sz w:val="28"/>
          <w:szCs w:val="28"/>
        </w:rPr>
        <w:t xml:space="preserve"> has been selected by United States Geological Survey (USGS) for a $10 million contract to perform geospatial lidar data collection and processing of 28,359 square miles in Oregon and Washington state as part of the USGS 3D Elevation Program (3DEP). The project will support forest resource management and is jointly funded by USGS and the U.S. Forest Service Geospatial Technology and Applications Center of the U.S. Department of Agriculture.</w:t>
      </w:r>
    </w:p>
    <w:p w14:paraId="0C1C4322" w14:textId="77777777" w:rsidR="000F624A" w:rsidRPr="00D84928" w:rsidRDefault="000F624A" w:rsidP="000F624A">
      <w:pPr>
        <w:pStyle w:val="NormalWeb"/>
        <w:rPr>
          <w:rFonts w:ascii="Roboto" w:hAnsi="Roboto"/>
          <w:color w:val="333333"/>
          <w:sz w:val="28"/>
          <w:szCs w:val="28"/>
        </w:rPr>
      </w:pPr>
      <w:r w:rsidRPr="00D84928">
        <w:rPr>
          <w:rFonts w:ascii="Roboto" w:hAnsi="Roboto"/>
          <w:color w:val="333333"/>
          <w:sz w:val="28"/>
          <w:szCs w:val="28"/>
        </w:rPr>
        <w:t>The two-year project includes leaf-on lidar data collection in the fall and spring and is expected to be completed in September 2025.</w:t>
      </w:r>
    </w:p>
    <w:p w14:paraId="5EC85983" w14:textId="5CE50B11" w:rsidR="000F624A" w:rsidRPr="00D84928" w:rsidRDefault="00910534" w:rsidP="000850B0">
      <w:pPr>
        <w:autoSpaceDE w:val="0"/>
        <w:autoSpaceDN w:val="0"/>
        <w:adjustRightInd w:val="0"/>
        <w:spacing w:after="0" w:line="240" w:lineRule="auto"/>
        <w:rPr>
          <w:rFonts w:ascii="Roboto" w:hAnsi="Roboto"/>
          <w:color w:val="333333"/>
          <w:sz w:val="28"/>
          <w:szCs w:val="28"/>
        </w:rPr>
      </w:pPr>
      <w:r>
        <w:rPr>
          <w:rFonts w:ascii="Roboto" w:hAnsi="Roboto"/>
          <w:color w:val="333333"/>
          <w:sz w:val="28"/>
          <w:szCs w:val="28"/>
        </w:rPr>
        <w:t>NVEE</w:t>
      </w:r>
      <w:r w:rsidR="000F624A" w:rsidRPr="00D84928">
        <w:rPr>
          <w:rFonts w:ascii="Roboto" w:hAnsi="Roboto"/>
          <w:color w:val="333333"/>
          <w:sz w:val="28"/>
          <w:szCs w:val="28"/>
        </w:rPr>
        <w:t xml:space="preserve"> has been awarded a $16 million extension to an existing resident engineering inspection services contract by the New York City Department of Design and Construction (“NYCDDC”). NV5 has also been issued a $9 million task order to provide resident engineering inspection services for the reconstruction of Trinity Place in Lower Manhattan. In addition to reconstruction of the roadway, the project’s scope will include extensive upgrades to the City’s sewer system and electric and gas infrastructure.</w:t>
      </w:r>
    </w:p>
    <w:p w14:paraId="34CA6B7A" w14:textId="77777777" w:rsidR="000F624A" w:rsidRPr="00D84928" w:rsidRDefault="000F624A" w:rsidP="000850B0">
      <w:pPr>
        <w:autoSpaceDE w:val="0"/>
        <w:autoSpaceDN w:val="0"/>
        <w:adjustRightInd w:val="0"/>
        <w:spacing w:after="0" w:line="240" w:lineRule="auto"/>
        <w:rPr>
          <w:rFonts w:ascii="Roboto" w:hAnsi="Roboto"/>
          <w:color w:val="333333"/>
          <w:sz w:val="28"/>
          <w:szCs w:val="28"/>
        </w:rPr>
      </w:pPr>
    </w:p>
    <w:p w14:paraId="58D0783B" w14:textId="77777777" w:rsidR="000F624A" w:rsidRPr="00D84928" w:rsidRDefault="000F624A" w:rsidP="000F624A">
      <w:pPr>
        <w:spacing w:after="0" w:line="240" w:lineRule="auto"/>
        <w:rPr>
          <w:rFonts w:ascii="Roboto" w:hAnsi="Roboto"/>
          <w:color w:val="333333"/>
          <w:spacing w:val="3"/>
          <w:sz w:val="28"/>
          <w:szCs w:val="28"/>
        </w:rPr>
      </w:pPr>
      <w:r w:rsidRPr="00D84928">
        <w:rPr>
          <w:rStyle w:val="moduledate-text"/>
          <w:rFonts w:ascii="Roboto" w:hAnsi="Roboto"/>
          <w:color w:val="333333"/>
          <w:spacing w:val="3"/>
          <w:sz w:val="28"/>
          <w:szCs w:val="28"/>
        </w:rPr>
        <w:t>August 8, 2023</w:t>
      </w:r>
    </w:p>
    <w:p w14:paraId="50A1502A" w14:textId="77777777" w:rsidR="000F624A" w:rsidRPr="00D84928" w:rsidRDefault="000F624A" w:rsidP="000F624A">
      <w:pPr>
        <w:rPr>
          <w:rFonts w:ascii="Roboto" w:hAnsi="Roboto"/>
          <w:color w:val="333333"/>
          <w:sz w:val="28"/>
          <w:szCs w:val="28"/>
        </w:rPr>
      </w:pPr>
      <w:hyperlink r:id="rId7" w:history="1">
        <w:r w:rsidRPr="00D84928">
          <w:rPr>
            <w:rStyle w:val="Hyperlink"/>
            <w:rFonts w:ascii="Roboto" w:hAnsi="Roboto"/>
            <w:color w:val="333333"/>
            <w:sz w:val="28"/>
            <w:szCs w:val="28"/>
          </w:rPr>
          <w:t>NV5 Acquires Red Technologies, Strengthens Data Center and Mission Critical Services in Asia Pacific</w:t>
        </w:r>
      </w:hyperlink>
    </w:p>
    <w:p w14:paraId="578D4834" w14:textId="77777777" w:rsidR="000F624A" w:rsidRPr="00D84928" w:rsidRDefault="000F624A" w:rsidP="000F624A">
      <w:pPr>
        <w:rPr>
          <w:rFonts w:ascii="Roboto" w:hAnsi="Roboto"/>
          <w:color w:val="333333"/>
          <w:spacing w:val="3"/>
          <w:sz w:val="28"/>
          <w:szCs w:val="28"/>
        </w:rPr>
      </w:pPr>
      <w:r w:rsidRPr="00D84928">
        <w:rPr>
          <w:rStyle w:val="moduledate-text"/>
          <w:rFonts w:ascii="Roboto" w:hAnsi="Roboto"/>
          <w:color w:val="333333"/>
          <w:spacing w:val="3"/>
          <w:sz w:val="28"/>
          <w:szCs w:val="28"/>
        </w:rPr>
        <w:t>July 27, 2023</w:t>
      </w:r>
    </w:p>
    <w:p w14:paraId="6217D0C6" w14:textId="77777777" w:rsidR="000F624A" w:rsidRPr="00D84928" w:rsidRDefault="000F624A" w:rsidP="000F624A">
      <w:pPr>
        <w:rPr>
          <w:rFonts w:ascii="Roboto" w:hAnsi="Roboto"/>
          <w:color w:val="333333"/>
          <w:sz w:val="28"/>
          <w:szCs w:val="28"/>
        </w:rPr>
      </w:pPr>
      <w:hyperlink r:id="rId8" w:history="1">
        <w:r w:rsidRPr="00D84928">
          <w:rPr>
            <w:rStyle w:val="Hyperlink"/>
            <w:rFonts w:ascii="Roboto" w:hAnsi="Roboto"/>
            <w:color w:val="333333"/>
            <w:sz w:val="28"/>
            <w:szCs w:val="28"/>
          </w:rPr>
          <w:t>NV5 Awarded $16 Million Contract for Combined Sewer Overflow Reduction by the New York City Department of Environmental Protection</w:t>
        </w:r>
      </w:hyperlink>
    </w:p>
    <w:p w14:paraId="0CD03E35" w14:textId="77777777" w:rsidR="000F624A" w:rsidRPr="00D84928" w:rsidRDefault="000F624A" w:rsidP="000F624A">
      <w:pPr>
        <w:rPr>
          <w:rFonts w:ascii="Roboto" w:hAnsi="Roboto"/>
          <w:color w:val="333333"/>
          <w:spacing w:val="3"/>
          <w:sz w:val="28"/>
          <w:szCs w:val="28"/>
        </w:rPr>
      </w:pPr>
      <w:r w:rsidRPr="00D84928">
        <w:rPr>
          <w:rStyle w:val="moduledate-text"/>
          <w:rFonts w:ascii="Roboto" w:hAnsi="Roboto"/>
          <w:color w:val="333333"/>
          <w:spacing w:val="3"/>
          <w:sz w:val="28"/>
          <w:szCs w:val="28"/>
        </w:rPr>
        <w:t>July 25, 2023</w:t>
      </w:r>
    </w:p>
    <w:p w14:paraId="2BEF1E4B" w14:textId="77777777" w:rsidR="000F624A" w:rsidRPr="00D84928" w:rsidRDefault="000F624A" w:rsidP="000F624A">
      <w:pPr>
        <w:rPr>
          <w:rFonts w:ascii="Roboto" w:hAnsi="Roboto"/>
          <w:color w:val="333333"/>
          <w:sz w:val="28"/>
          <w:szCs w:val="28"/>
        </w:rPr>
      </w:pPr>
      <w:hyperlink r:id="rId9" w:history="1">
        <w:r w:rsidRPr="00D84928">
          <w:rPr>
            <w:rStyle w:val="Hyperlink"/>
            <w:rFonts w:ascii="Roboto" w:hAnsi="Roboto"/>
            <w:color w:val="333333"/>
            <w:sz w:val="28"/>
            <w:szCs w:val="28"/>
          </w:rPr>
          <w:t>NV5 Awarded $11 million in Utility Undergrounding, Battery Storage, and Distribution Reliability Contracts</w:t>
        </w:r>
      </w:hyperlink>
    </w:p>
    <w:p w14:paraId="7F9D60F0" w14:textId="6089B4E7" w:rsidR="00A871D8" w:rsidRPr="00D84928" w:rsidRDefault="00A871D8" w:rsidP="001E2E42">
      <w:pPr>
        <w:autoSpaceDE w:val="0"/>
        <w:autoSpaceDN w:val="0"/>
        <w:adjustRightInd w:val="0"/>
        <w:spacing w:after="0" w:line="240" w:lineRule="auto"/>
        <w:rPr>
          <w:rFonts w:ascii="Verdana" w:hAnsi="Verdana"/>
          <w:sz w:val="28"/>
          <w:szCs w:val="28"/>
        </w:rPr>
      </w:pPr>
      <w:r w:rsidRPr="00D84928">
        <w:rPr>
          <w:rFonts w:ascii="Verdana" w:hAnsi="Verdana"/>
          <w:b/>
          <w:bCs/>
          <w:sz w:val="28"/>
          <w:szCs w:val="28"/>
        </w:rPr>
        <w:t xml:space="preserve">CFRA - </w:t>
      </w:r>
      <w:r w:rsidRPr="00D84928">
        <w:rPr>
          <w:rFonts w:ascii="Verdana" w:hAnsi="Verdana"/>
          <w:sz w:val="28"/>
          <w:szCs w:val="28"/>
        </w:rPr>
        <w:t xml:space="preserve">NVEE's SELL recommendation is based on its score from CFRA's quantitative model for the United States. Growth and Valuation model sub-categories are the two largest drivers of NVEE's SELL recommendation. Growth includes factors that measure EPS growth and stability and cash flow growth and stability. </w:t>
      </w:r>
    </w:p>
    <w:p w14:paraId="060E8679" w14:textId="77777777" w:rsidR="00A871D8" w:rsidRPr="00D84928" w:rsidRDefault="00A871D8" w:rsidP="001E2E42">
      <w:pPr>
        <w:autoSpaceDE w:val="0"/>
        <w:autoSpaceDN w:val="0"/>
        <w:adjustRightInd w:val="0"/>
        <w:spacing w:after="0" w:line="240" w:lineRule="auto"/>
        <w:rPr>
          <w:rFonts w:ascii="Verdana" w:hAnsi="Verdana"/>
          <w:sz w:val="28"/>
          <w:szCs w:val="28"/>
        </w:rPr>
      </w:pPr>
      <w:r w:rsidRPr="00D84928">
        <w:rPr>
          <w:rFonts w:ascii="Verdana" w:hAnsi="Verdana"/>
          <w:sz w:val="28"/>
          <w:szCs w:val="28"/>
        </w:rPr>
        <w:t xml:space="preserve">Valuation includes factors such as price to earnings, price to EBITDA, and price to cash flow. </w:t>
      </w:r>
    </w:p>
    <w:p w14:paraId="2C52F04E" w14:textId="0EC0908D" w:rsidR="00CE2BA8" w:rsidRPr="00D84928" w:rsidRDefault="00A871D8" w:rsidP="001E2E42">
      <w:pPr>
        <w:autoSpaceDE w:val="0"/>
        <w:autoSpaceDN w:val="0"/>
        <w:adjustRightInd w:val="0"/>
        <w:spacing w:after="0" w:line="240" w:lineRule="auto"/>
        <w:rPr>
          <w:rFonts w:ascii="Verdana" w:hAnsi="Verdana"/>
          <w:b/>
          <w:bCs/>
          <w:sz w:val="28"/>
          <w:szCs w:val="28"/>
        </w:rPr>
      </w:pPr>
      <w:r w:rsidRPr="00D84928">
        <w:rPr>
          <w:rFonts w:ascii="Verdana" w:hAnsi="Verdana"/>
          <w:sz w:val="28"/>
          <w:szCs w:val="28"/>
        </w:rPr>
        <w:t xml:space="preserve">NVEE's overall score </w:t>
      </w:r>
      <w:r w:rsidR="00D84928" w:rsidRPr="00D84928">
        <w:rPr>
          <w:rFonts w:ascii="Verdana" w:hAnsi="Verdana"/>
          <w:sz w:val="28"/>
          <w:szCs w:val="28"/>
        </w:rPr>
        <w:t>ranked</w:t>
      </w:r>
      <w:r w:rsidRPr="00D84928">
        <w:rPr>
          <w:rFonts w:ascii="Verdana" w:hAnsi="Verdana"/>
          <w:sz w:val="28"/>
          <w:szCs w:val="28"/>
        </w:rPr>
        <w:t xml:space="preserve"> 83. (1 = best and 100 = worst)</w:t>
      </w:r>
    </w:p>
    <w:p w14:paraId="2F5DB8C4" w14:textId="08B8E88E" w:rsidR="001B7DDA" w:rsidRPr="00D84928" w:rsidRDefault="001B7DDA" w:rsidP="001E2E42">
      <w:pPr>
        <w:autoSpaceDE w:val="0"/>
        <w:autoSpaceDN w:val="0"/>
        <w:adjustRightInd w:val="0"/>
        <w:spacing w:after="0" w:line="240" w:lineRule="auto"/>
        <w:rPr>
          <w:rFonts w:ascii="Verdana" w:hAnsi="Verdana" w:cs="Cambria"/>
          <w:b/>
          <w:bCs/>
          <w:color w:val="000000"/>
          <w:sz w:val="28"/>
          <w:szCs w:val="28"/>
        </w:rPr>
      </w:pPr>
    </w:p>
    <w:p w14:paraId="26358EB0" w14:textId="77777777" w:rsidR="001E2E42" w:rsidRPr="00D84928" w:rsidRDefault="001E2E42" w:rsidP="001E2E42">
      <w:pPr>
        <w:autoSpaceDE w:val="0"/>
        <w:autoSpaceDN w:val="0"/>
        <w:adjustRightInd w:val="0"/>
        <w:spacing w:after="0" w:line="240" w:lineRule="auto"/>
        <w:rPr>
          <w:rFonts w:ascii="Verdana" w:hAnsi="Verdana" w:cs="Univers-Condensed"/>
          <w:sz w:val="28"/>
          <w:szCs w:val="28"/>
        </w:rPr>
      </w:pPr>
    </w:p>
    <w:p w14:paraId="6FAFAE35" w14:textId="4964FE03" w:rsidR="00820FB1" w:rsidRPr="00D84928" w:rsidRDefault="00B63ADD" w:rsidP="0000071F">
      <w:pPr>
        <w:numPr>
          <w:ilvl w:val="1"/>
          <w:numId w:val="3"/>
        </w:numPr>
        <w:shd w:val="clear" w:color="auto" w:fill="FFFFFF"/>
        <w:tabs>
          <w:tab w:val="clear" w:pos="1440"/>
          <w:tab w:val="num" w:pos="0"/>
        </w:tabs>
        <w:autoSpaceDE w:val="0"/>
        <w:autoSpaceDN w:val="0"/>
        <w:adjustRightInd w:val="0"/>
        <w:spacing w:after="0" w:line="240" w:lineRule="auto"/>
        <w:ind w:left="0"/>
        <w:rPr>
          <w:rFonts w:ascii="Verdana" w:hAnsi="Verdana" w:cs="Univers-Condensed"/>
          <w:sz w:val="28"/>
          <w:szCs w:val="28"/>
        </w:rPr>
      </w:pPr>
      <w:r w:rsidRPr="00D84928">
        <w:rPr>
          <w:rFonts w:ascii="Verdana" w:hAnsi="Verdana"/>
          <w:b/>
          <w:sz w:val="28"/>
          <w:szCs w:val="28"/>
        </w:rPr>
        <w:t>Recommend</w:t>
      </w:r>
      <w:r w:rsidRPr="00D84928">
        <w:rPr>
          <w:rFonts w:ascii="Verdana" w:hAnsi="Verdana"/>
          <w:sz w:val="28"/>
          <w:szCs w:val="28"/>
        </w:rPr>
        <w:t xml:space="preserve">: </w:t>
      </w:r>
      <w:r w:rsidR="005808DB" w:rsidRPr="00D84928">
        <w:rPr>
          <w:rFonts w:ascii="Verdana" w:hAnsi="Verdana"/>
          <w:sz w:val="28"/>
          <w:szCs w:val="28"/>
        </w:rPr>
        <w:t>Ho</w:t>
      </w:r>
      <w:r w:rsidR="004F5434" w:rsidRPr="00D84928">
        <w:rPr>
          <w:rFonts w:ascii="Verdana" w:hAnsi="Verdana"/>
          <w:sz w:val="28"/>
          <w:szCs w:val="28"/>
        </w:rPr>
        <w:t>ld</w:t>
      </w:r>
      <w:r w:rsidR="00BE7C25" w:rsidRPr="00D84928">
        <w:rPr>
          <w:rFonts w:ascii="Verdana" w:hAnsi="Verdana"/>
          <w:sz w:val="28"/>
          <w:szCs w:val="28"/>
        </w:rPr>
        <w:t xml:space="preserve"> or</w:t>
      </w:r>
      <w:r w:rsidR="005808DB" w:rsidRPr="00D84928">
        <w:rPr>
          <w:rFonts w:ascii="Verdana" w:hAnsi="Verdana"/>
          <w:sz w:val="28"/>
          <w:szCs w:val="28"/>
        </w:rPr>
        <w:t>,</w:t>
      </w:r>
      <w:r w:rsidRPr="00D84928">
        <w:rPr>
          <w:rFonts w:ascii="Verdana" w:hAnsi="Verdana"/>
          <w:sz w:val="28"/>
          <w:szCs w:val="28"/>
        </w:rPr>
        <w:t xml:space="preserve"> Challenge w</w:t>
      </w:r>
      <w:r w:rsidR="000752AD" w:rsidRPr="00D84928">
        <w:rPr>
          <w:rFonts w:ascii="Verdana" w:hAnsi="Verdana"/>
          <w:sz w:val="28"/>
          <w:szCs w:val="28"/>
        </w:rPr>
        <w:t>/</w:t>
      </w:r>
      <w:r w:rsidR="00D84928" w:rsidRPr="00D84928">
        <w:rPr>
          <w:rFonts w:ascii="Verdana" w:hAnsi="Verdana"/>
          <w:sz w:val="28"/>
          <w:szCs w:val="28"/>
        </w:rPr>
        <w:t>better _</w:t>
      </w:r>
      <w:r w:rsidR="00D84928">
        <w:rPr>
          <w:rFonts w:ascii="Verdana" w:hAnsi="Verdana"/>
          <w:sz w:val="28"/>
          <w:szCs w:val="28"/>
        </w:rPr>
        <w:t>X</w:t>
      </w:r>
      <w:r w:rsidRPr="00D84928">
        <w:rPr>
          <w:rFonts w:ascii="Verdana" w:hAnsi="Verdana"/>
          <w:sz w:val="28"/>
          <w:szCs w:val="28"/>
        </w:rPr>
        <w:t>_, Sel</w:t>
      </w:r>
      <w:r w:rsidR="00697721" w:rsidRPr="00D84928">
        <w:rPr>
          <w:rFonts w:ascii="Verdana" w:hAnsi="Verdana"/>
          <w:sz w:val="28"/>
          <w:szCs w:val="28"/>
        </w:rPr>
        <w:t>l</w:t>
      </w:r>
      <w:r w:rsidRPr="00D84928">
        <w:rPr>
          <w:rFonts w:ascii="Verdana" w:hAnsi="Verdana"/>
          <w:sz w:val="28"/>
          <w:szCs w:val="28"/>
        </w:rPr>
        <w:t>_</w:t>
      </w:r>
      <w:r w:rsidR="004F5434" w:rsidRPr="00D84928">
        <w:rPr>
          <w:rFonts w:ascii="Verdana" w:hAnsi="Verdana"/>
          <w:sz w:val="28"/>
          <w:szCs w:val="28"/>
        </w:rPr>
        <w:t>X</w:t>
      </w:r>
      <w:r w:rsidRPr="00D84928">
        <w:rPr>
          <w:rFonts w:ascii="Verdana" w:hAnsi="Verdana"/>
          <w:sz w:val="28"/>
          <w:szCs w:val="28"/>
        </w:rPr>
        <w:t>__</w:t>
      </w:r>
    </w:p>
    <w:sectPr w:rsidR="00820FB1" w:rsidRPr="00D84928" w:rsidSect="00A17546">
      <w:pgSz w:w="15840" w:h="12240" w:orient="landscape"/>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Univers-Condense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6B03"/>
    <w:multiLevelType w:val="multilevel"/>
    <w:tmpl w:val="42A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502907"/>
    <w:multiLevelType w:val="multilevel"/>
    <w:tmpl w:val="7A1E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65BFC"/>
    <w:multiLevelType w:val="multilevel"/>
    <w:tmpl w:val="30EA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B1096"/>
    <w:multiLevelType w:val="hybridMultilevel"/>
    <w:tmpl w:val="DA3E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56349"/>
    <w:multiLevelType w:val="multilevel"/>
    <w:tmpl w:val="82DCC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7746DF"/>
    <w:multiLevelType w:val="multilevel"/>
    <w:tmpl w:val="1C2C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2388874">
    <w:abstractNumId w:val="0"/>
  </w:num>
  <w:num w:numId="2" w16cid:durableId="2008824870">
    <w:abstractNumId w:val="5"/>
  </w:num>
  <w:num w:numId="3" w16cid:durableId="165558502">
    <w:abstractNumId w:val="4"/>
  </w:num>
  <w:num w:numId="4" w16cid:durableId="1530754339">
    <w:abstractNumId w:val="3"/>
  </w:num>
  <w:num w:numId="5" w16cid:durableId="370806632">
    <w:abstractNumId w:val="2"/>
  </w:num>
  <w:num w:numId="6" w16cid:durableId="2128349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890"/>
    <w:rsid w:val="0000071F"/>
    <w:rsid w:val="00007BBE"/>
    <w:rsid w:val="00023CA2"/>
    <w:rsid w:val="0007462C"/>
    <w:rsid w:val="000752AD"/>
    <w:rsid w:val="000850B0"/>
    <w:rsid w:val="00097ED0"/>
    <w:rsid w:val="000A1B8F"/>
    <w:rsid w:val="000E42E0"/>
    <w:rsid w:val="000E4A40"/>
    <w:rsid w:val="000F624A"/>
    <w:rsid w:val="00107C84"/>
    <w:rsid w:val="00126154"/>
    <w:rsid w:val="00131DFE"/>
    <w:rsid w:val="00160172"/>
    <w:rsid w:val="00163755"/>
    <w:rsid w:val="0019729A"/>
    <w:rsid w:val="001A47C0"/>
    <w:rsid w:val="001B2E6D"/>
    <w:rsid w:val="001B7DDA"/>
    <w:rsid w:val="001C5F0A"/>
    <w:rsid w:val="001E2E42"/>
    <w:rsid w:val="00202D58"/>
    <w:rsid w:val="00225BC9"/>
    <w:rsid w:val="0029694F"/>
    <w:rsid w:val="002B4570"/>
    <w:rsid w:val="002D459B"/>
    <w:rsid w:val="003113D7"/>
    <w:rsid w:val="003335BE"/>
    <w:rsid w:val="00357672"/>
    <w:rsid w:val="00380E92"/>
    <w:rsid w:val="003C0579"/>
    <w:rsid w:val="003C6964"/>
    <w:rsid w:val="003D36ED"/>
    <w:rsid w:val="003F0F1E"/>
    <w:rsid w:val="00404D11"/>
    <w:rsid w:val="004270DA"/>
    <w:rsid w:val="0045301A"/>
    <w:rsid w:val="00454ECB"/>
    <w:rsid w:val="0046008E"/>
    <w:rsid w:val="00463416"/>
    <w:rsid w:val="004839FF"/>
    <w:rsid w:val="004A0A00"/>
    <w:rsid w:val="004D6EEE"/>
    <w:rsid w:val="004F5434"/>
    <w:rsid w:val="0051419B"/>
    <w:rsid w:val="0051592F"/>
    <w:rsid w:val="00516890"/>
    <w:rsid w:val="005246B6"/>
    <w:rsid w:val="00556D16"/>
    <w:rsid w:val="00556D9A"/>
    <w:rsid w:val="00560ECC"/>
    <w:rsid w:val="005678B6"/>
    <w:rsid w:val="005808DB"/>
    <w:rsid w:val="005B01E7"/>
    <w:rsid w:val="005E6664"/>
    <w:rsid w:val="005F7013"/>
    <w:rsid w:val="005F7D59"/>
    <w:rsid w:val="00605D46"/>
    <w:rsid w:val="00625DC4"/>
    <w:rsid w:val="006435A0"/>
    <w:rsid w:val="0069112E"/>
    <w:rsid w:val="00697721"/>
    <w:rsid w:val="006A1D6D"/>
    <w:rsid w:val="006C098B"/>
    <w:rsid w:val="006E1E78"/>
    <w:rsid w:val="006E79A1"/>
    <w:rsid w:val="00724427"/>
    <w:rsid w:val="007C3EB3"/>
    <w:rsid w:val="007E63BB"/>
    <w:rsid w:val="00820FB1"/>
    <w:rsid w:val="0086485E"/>
    <w:rsid w:val="00885A64"/>
    <w:rsid w:val="00885B06"/>
    <w:rsid w:val="00887C48"/>
    <w:rsid w:val="00890A19"/>
    <w:rsid w:val="008A1B60"/>
    <w:rsid w:val="008B42A3"/>
    <w:rsid w:val="008E6FDA"/>
    <w:rsid w:val="008E7A5D"/>
    <w:rsid w:val="00910534"/>
    <w:rsid w:val="009137A6"/>
    <w:rsid w:val="00921EBA"/>
    <w:rsid w:val="00926DBF"/>
    <w:rsid w:val="00946583"/>
    <w:rsid w:val="0096528E"/>
    <w:rsid w:val="009754F8"/>
    <w:rsid w:val="009A58FB"/>
    <w:rsid w:val="009B3134"/>
    <w:rsid w:val="00A0563A"/>
    <w:rsid w:val="00A17546"/>
    <w:rsid w:val="00A2296A"/>
    <w:rsid w:val="00A52F9B"/>
    <w:rsid w:val="00A871D8"/>
    <w:rsid w:val="00AA085F"/>
    <w:rsid w:val="00B36503"/>
    <w:rsid w:val="00B63ADD"/>
    <w:rsid w:val="00BC0155"/>
    <w:rsid w:val="00BE7585"/>
    <w:rsid w:val="00BE7C25"/>
    <w:rsid w:val="00BF2554"/>
    <w:rsid w:val="00C41737"/>
    <w:rsid w:val="00C767BB"/>
    <w:rsid w:val="00CB1E3D"/>
    <w:rsid w:val="00CC359A"/>
    <w:rsid w:val="00CE2BA8"/>
    <w:rsid w:val="00D150A5"/>
    <w:rsid w:val="00D65D6E"/>
    <w:rsid w:val="00D83AC0"/>
    <w:rsid w:val="00D84928"/>
    <w:rsid w:val="00D94088"/>
    <w:rsid w:val="00DB71AB"/>
    <w:rsid w:val="00DC18E2"/>
    <w:rsid w:val="00DD65B9"/>
    <w:rsid w:val="00DF4BC3"/>
    <w:rsid w:val="00E02A18"/>
    <w:rsid w:val="00E03446"/>
    <w:rsid w:val="00E21A5A"/>
    <w:rsid w:val="00E2328C"/>
    <w:rsid w:val="00E45153"/>
    <w:rsid w:val="00E6384B"/>
    <w:rsid w:val="00E84C24"/>
    <w:rsid w:val="00E86D50"/>
    <w:rsid w:val="00ED057E"/>
    <w:rsid w:val="00ED52D4"/>
    <w:rsid w:val="00F0181A"/>
    <w:rsid w:val="00F06DB8"/>
    <w:rsid w:val="00F23689"/>
    <w:rsid w:val="00F51A82"/>
    <w:rsid w:val="00F671B6"/>
    <w:rsid w:val="00F808AB"/>
    <w:rsid w:val="00FB6D0D"/>
    <w:rsid w:val="00FC27E6"/>
    <w:rsid w:val="00FC496E"/>
    <w:rsid w:val="00FD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4C41"/>
  <w15:chartTrackingRefBased/>
  <w15:docId w15:val="{56DE96DB-A929-40C2-8B7F-AD01EE76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434"/>
    <w:pPr>
      <w:spacing w:after="200" w:line="276" w:lineRule="auto"/>
    </w:pPr>
    <w:rPr>
      <w:sz w:val="22"/>
      <w:szCs w:val="22"/>
    </w:rPr>
  </w:style>
  <w:style w:type="paragraph" w:styleId="Heading2">
    <w:name w:val="heading 2"/>
    <w:basedOn w:val="Normal"/>
    <w:link w:val="Heading2Char"/>
    <w:uiPriority w:val="9"/>
    <w:qFormat/>
    <w:rsid w:val="00605D4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0850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98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098B"/>
    <w:rPr>
      <w:rFonts w:ascii="Segoe UI" w:hAnsi="Segoe UI" w:cs="Segoe UI"/>
      <w:sz w:val="18"/>
      <w:szCs w:val="18"/>
    </w:rPr>
  </w:style>
  <w:style w:type="character" w:customStyle="1" w:styleId="xn-person">
    <w:name w:val="xn-person"/>
    <w:rsid w:val="00126154"/>
  </w:style>
  <w:style w:type="character" w:customStyle="1" w:styleId="xn-chron">
    <w:name w:val="xn-chron"/>
    <w:rsid w:val="00463416"/>
  </w:style>
  <w:style w:type="character" w:customStyle="1" w:styleId="xn-location">
    <w:name w:val="xn-location"/>
    <w:rsid w:val="00463416"/>
  </w:style>
  <w:style w:type="paragraph" w:styleId="NormalWeb">
    <w:name w:val="Normal (Web)"/>
    <w:basedOn w:val="Normal"/>
    <w:uiPriority w:val="99"/>
    <w:unhideWhenUsed/>
    <w:rsid w:val="00225B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225BC9"/>
    <w:rPr>
      <w:color w:val="0000FF"/>
      <w:u w:val="single"/>
    </w:rPr>
  </w:style>
  <w:style w:type="character" w:customStyle="1" w:styleId="xn-money">
    <w:name w:val="xn-money"/>
    <w:rsid w:val="00225BC9"/>
  </w:style>
  <w:style w:type="character" w:customStyle="1" w:styleId="Heading2Char">
    <w:name w:val="Heading 2 Char"/>
    <w:basedOn w:val="DefaultParagraphFont"/>
    <w:link w:val="Heading2"/>
    <w:uiPriority w:val="9"/>
    <w:rsid w:val="00605D46"/>
    <w:rPr>
      <w:rFonts w:ascii="Times New Roman" w:eastAsia="Times New Roman" w:hAnsi="Times New Roman"/>
      <w:b/>
      <w:bCs/>
      <w:sz w:val="36"/>
      <w:szCs w:val="36"/>
    </w:rPr>
  </w:style>
  <w:style w:type="paragraph" w:styleId="ListParagraph">
    <w:name w:val="List Paragraph"/>
    <w:basedOn w:val="Normal"/>
    <w:uiPriority w:val="34"/>
    <w:qFormat/>
    <w:rsid w:val="008A1B60"/>
    <w:pPr>
      <w:ind w:left="720"/>
      <w:contextualSpacing/>
    </w:pPr>
  </w:style>
  <w:style w:type="character" w:customStyle="1" w:styleId="caas-author-byline-collapse">
    <w:name w:val="caas-author-byline-collapse"/>
    <w:basedOn w:val="DefaultParagraphFont"/>
    <w:rsid w:val="003113D7"/>
  </w:style>
  <w:style w:type="character" w:customStyle="1" w:styleId="xray-entity-title-link">
    <w:name w:val="xray-entity-title-link"/>
    <w:basedOn w:val="DefaultParagraphFont"/>
    <w:rsid w:val="003113D7"/>
  </w:style>
  <w:style w:type="character" w:customStyle="1" w:styleId="Heading3Char">
    <w:name w:val="Heading 3 Char"/>
    <w:basedOn w:val="DefaultParagraphFont"/>
    <w:link w:val="Heading3"/>
    <w:uiPriority w:val="9"/>
    <w:rsid w:val="000850B0"/>
    <w:rPr>
      <w:rFonts w:asciiTheme="majorHAnsi" w:eastAsiaTheme="majorEastAsia" w:hAnsiTheme="majorHAnsi" w:cstheme="majorBidi"/>
      <w:color w:val="1F4D78" w:themeColor="accent1" w:themeShade="7F"/>
      <w:sz w:val="24"/>
      <w:szCs w:val="24"/>
    </w:rPr>
  </w:style>
  <w:style w:type="character" w:customStyle="1" w:styleId="shim-left">
    <w:name w:val="shim-left"/>
    <w:basedOn w:val="DefaultParagraphFont"/>
    <w:rsid w:val="000850B0"/>
  </w:style>
  <w:style w:type="character" w:customStyle="1" w:styleId="moduledate-text">
    <w:name w:val="module_date-text"/>
    <w:basedOn w:val="DefaultParagraphFont"/>
    <w:rsid w:val="000F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4340">
      <w:bodyDiv w:val="1"/>
      <w:marLeft w:val="0"/>
      <w:marRight w:val="0"/>
      <w:marTop w:val="0"/>
      <w:marBottom w:val="0"/>
      <w:divBdr>
        <w:top w:val="none" w:sz="0" w:space="0" w:color="auto"/>
        <w:left w:val="none" w:sz="0" w:space="0" w:color="auto"/>
        <w:bottom w:val="none" w:sz="0" w:space="0" w:color="auto"/>
        <w:right w:val="none" w:sz="0" w:space="0" w:color="auto"/>
      </w:divBdr>
      <w:divsChild>
        <w:div w:id="2105760023">
          <w:marLeft w:val="0"/>
          <w:marRight w:val="0"/>
          <w:marTop w:val="0"/>
          <w:marBottom w:val="0"/>
          <w:divBdr>
            <w:top w:val="none" w:sz="0" w:space="0" w:color="auto"/>
            <w:left w:val="none" w:sz="0" w:space="0" w:color="auto"/>
            <w:bottom w:val="none" w:sz="0" w:space="0" w:color="auto"/>
            <w:right w:val="none" w:sz="0" w:space="0" w:color="auto"/>
          </w:divBdr>
        </w:div>
        <w:div w:id="1475638939">
          <w:marLeft w:val="293"/>
          <w:marRight w:val="0"/>
          <w:marTop w:val="0"/>
          <w:marBottom w:val="0"/>
          <w:divBdr>
            <w:top w:val="none" w:sz="0" w:space="0" w:color="auto"/>
            <w:left w:val="none" w:sz="0" w:space="0" w:color="auto"/>
            <w:bottom w:val="none" w:sz="0" w:space="0" w:color="auto"/>
            <w:right w:val="none" w:sz="0" w:space="0" w:color="auto"/>
          </w:divBdr>
        </w:div>
      </w:divsChild>
    </w:div>
    <w:div w:id="1062211816">
      <w:bodyDiv w:val="1"/>
      <w:marLeft w:val="0"/>
      <w:marRight w:val="0"/>
      <w:marTop w:val="0"/>
      <w:marBottom w:val="0"/>
      <w:divBdr>
        <w:top w:val="none" w:sz="0" w:space="0" w:color="auto"/>
        <w:left w:val="none" w:sz="0" w:space="0" w:color="auto"/>
        <w:bottom w:val="none" w:sz="0" w:space="0" w:color="auto"/>
        <w:right w:val="none" w:sz="0" w:space="0" w:color="auto"/>
      </w:divBdr>
    </w:div>
    <w:div w:id="1253395081">
      <w:bodyDiv w:val="1"/>
      <w:marLeft w:val="0"/>
      <w:marRight w:val="0"/>
      <w:marTop w:val="0"/>
      <w:marBottom w:val="0"/>
      <w:divBdr>
        <w:top w:val="none" w:sz="0" w:space="0" w:color="auto"/>
        <w:left w:val="none" w:sz="0" w:space="0" w:color="auto"/>
        <w:bottom w:val="none" w:sz="0" w:space="0" w:color="auto"/>
        <w:right w:val="none" w:sz="0" w:space="0" w:color="auto"/>
      </w:divBdr>
    </w:div>
    <w:div w:id="1483621149">
      <w:bodyDiv w:val="1"/>
      <w:marLeft w:val="0"/>
      <w:marRight w:val="0"/>
      <w:marTop w:val="0"/>
      <w:marBottom w:val="0"/>
      <w:divBdr>
        <w:top w:val="none" w:sz="0" w:space="0" w:color="auto"/>
        <w:left w:val="none" w:sz="0" w:space="0" w:color="auto"/>
        <w:bottom w:val="none" w:sz="0" w:space="0" w:color="auto"/>
        <w:right w:val="none" w:sz="0" w:space="0" w:color="auto"/>
      </w:divBdr>
      <w:divsChild>
        <w:div w:id="1235973964">
          <w:marLeft w:val="0"/>
          <w:marRight w:val="0"/>
          <w:marTop w:val="0"/>
          <w:marBottom w:val="0"/>
          <w:divBdr>
            <w:top w:val="none" w:sz="0" w:space="0" w:color="auto"/>
            <w:left w:val="none" w:sz="0" w:space="0" w:color="auto"/>
            <w:bottom w:val="none" w:sz="0" w:space="0" w:color="auto"/>
            <w:right w:val="none" w:sz="0" w:space="0" w:color="auto"/>
          </w:divBdr>
          <w:divsChild>
            <w:div w:id="1743605591">
              <w:marLeft w:val="0"/>
              <w:marRight w:val="0"/>
              <w:marTop w:val="0"/>
              <w:marBottom w:val="0"/>
              <w:divBdr>
                <w:top w:val="none" w:sz="0" w:space="0" w:color="auto"/>
                <w:left w:val="none" w:sz="0" w:space="0" w:color="auto"/>
                <w:bottom w:val="none" w:sz="0" w:space="0" w:color="auto"/>
                <w:right w:val="none" w:sz="0" w:space="0" w:color="auto"/>
              </w:divBdr>
              <w:divsChild>
                <w:div w:id="1079670978">
                  <w:marLeft w:val="0"/>
                  <w:marRight w:val="0"/>
                  <w:marTop w:val="0"/>
                  <w:marBottom w:val="0"/>
                  <w:divBdr>
                    <w:top w:val="none" w:sz="0" w:space="0" w:color="auto"/>
                    <w:left w:val="none" w:sz="0" w:space="0" w:color="auto"/>
                    <w:bottom w:val="none" w:sz="0" w:space="0" w:color="auto"/>
                    <w:right w:val="none" w:sz="0" w:space="0" w:color="auto"/>
                  </w:divBdr>
                  <w:divsChild>
                    <w:div w:id="7450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38162">
          <w:marLeft w:val="0"/>
          <w:marRight w:val="0"/>
          <w:marTop w:val="0"/>
          <w:marBottom w:val="0"/>
          <w:divBdr>
            <w:top w:val="none" w:sz="0" w:space="0" w:color="auto"/>
            <w:left w:val="none" w:sz="0" w:space="0" w:color="auto"/>
            <w:bottom w:val="none" w:sz="0" w:space="0" w:color="auto"/>
            <w:right w:val="none" w:sz="0" w:space="0" w:color="auto"/>
          </w:divBdr>
          <w:divsChild>
            <w:div w:id="1944612112">
              <w:marLeft w:val="0"/>
              <w:marRight w:val="0"/>
              <w:marTop w:val="0"/>
              <w:marBottom w:val="300"/>
              <w:divBdr>
                <w:top w:val="none" w:sz="0" w:space="0" w:color="auto"/>
                <w:left w:val="none" w:sz="0" w:space="0" w:color="auto"/>
                <w:bottom w:val="none" w:sz="0" w:space="0" w:color="auto"/>
                <w:right w:val="none" w:sz="0" w:space="0" w:color="auto"/>
              </w:divBdr>
              <w:divsChild>
                <w:div w:id="1900751147">
                  <w:marLeft w:val="0"/>
                  <w:marRight w:val="0"/>
                  <w:marTop w:val="0"/>
                  <w:marBottom w:val="0"/>
                  <w:divBdr>
                    <w:top w:val="none" w:sz="0" w:space="0" w:color="auto"/>
                    <w:left w:val="none" w:sz="0" w:space="0" w:color="auto"/>
                    <w:bottom w:val="none" w:sz="0" w:space="0" w:color="auto"/>
                    <w:right w:val="none" w:sz="0" w:space="0" w:color="auto"/>
                  </w:divBdr>
                  <w:divsChild>
                    <w:div w:id="1158425695">
                      <w:marLeft w:val="0"/>
                      <w:marRight w:val="0"/>
                      <w:marTop w:val="0"/>
                      <w:marBottom w:val="0"/>
                      <w:divBdr>
                        <w:top w:val="none" w:sz="0" w:space="0" w:color="auto"/>
                        <w:left w:val="none" w:sz="0" w:space="0" w:color="auto"/>
                        <w:bottom w:val="none" w:sz="0" w:space="0" w:color="auto"/>
                        <w:right w:val="none" w:sz="0" w:space="0" w:color="auto"/>
                      </w:divBdr>
                    </w:div>
                    <w:div w:id="14819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34573">
          <w:marLeft w:val="0"/>
          <w:marRight w:val="0"/>
          <w:marTop w:val="0"/>
          <w:marBottom w:val="0"/>
          <w:divBdr>
            <w:top w:val="none" w:sz="0" w:space="0" w:color="auto"/>
            <w:left w:val="none" w:sz="0" w:space="0" w:color="auto"/>
            <w:bottom w:val="none" w:sz="0" w:space="0" w:color="auto"/>
            <w:right w:val="none" w:sz="0" w:space="0" w:color="auto"/>
          </w:divBdr>
          <w:divsChild>
            <w:div w:id="421947952">
              <w:marLeft w:val="0"/>
              <w:marRight w:val="0"/>
              <w:marTop w:val="0"/>
              <w:marBottom w:val="120"/>
              <w:divBdr>
                <w:top w:val="none" w:sz="0" w:space="0" w:color="auto"/>
                <w:left w:val="none" w:sz="0" w:space="0" w:color="auto"/>
                <w:bottom w:val="none" w:sz="0" w:space="0" w:color="auto"/>
                <w:right w:val="none" w:sz="0" w:space="0" w:color="auto"/>
              </w:divBdr>
              <w:divsChild>
                <w:div w:id="602766572">
                  <w:marLeft w:val="0"/>
                  <w:marRight w:val="0"/>
                  <w:marTop w:val="0"/>
                  <w:marBottom w:val="0"/>
                  <w:divBdr>
                    <w:top w:val="none" w:sz="0" w:space="0" w:color="auto"/>
                    <w:left w:val="none" w:sz="0" w:space="0" w:color="auto"/>
                    <w:bottom w:val="none" w:sz="0" w:space="0" w:color="auto"/>
                    <w:right w:val="none" w:sz="0" w:space="0" w:color="auto"/>
                  </w:divBdr>
                </w:div>
              </w:divsChild>
            </w:div>
            <w:div w:id="72313487">
              <w:marLeft w:val="0"/>
              <w:marRight w:val="0"/>
              <w:marTop w:val="0"/>
              <w:marBottom w:val="0"/>
              <w:divBdr>
                <w:top w:val="none" w:sz="0" w:space="0" w:color="auto"/>
                <w:left w:val="none" w:sz="0" w:space="0" w:color="auto"/>
                <w:bottom w:val="none" w:sz="0" w:space="0" w:color="auto"/>
                <w:right w:val="none" w:sz="0" w:space="0" w:color="auto"/>
              </w:divBdr>
              <w:divsChild>
                <w:div w:id="921447877">
                  <w:marLeft w:val="-150"/>
                  <w:marRight w:val="1083"/>
                  <w:marTop w:val="0"/>
                  <w:marBottom w:val="60"/>
                  <w:divBdr>
                    <w:top w:val="none" w:sz="0" w:space="0" w:color="auto"/>
                    <w:left w:val="none" w:sz="0" w:space="0" w:color="auto"/>
                    <w:bottom w:val="none" w:sz="0" w:space="0" w:color="auto"/>
                    <w:right w:val="none" w:sz="0" w:space="0" w:color="auto"/>
                  </w:divBdr>
                  <w:divsChild>
                    <w:div w:id="164712442">
                      <w:marLeft w:val="0"/>
                      <w:marRight w:val="0"/>
                      <w:marTop w:val="0"/>
                      <w:marBottom w:val="0"/>
                      <w:divBdr>
                        <w:top w:val="none" w:sz="0" w:space="0" w:color="auto"/>
                        <w:left w:val="none" w:sz="0" w:space="0" w:color="auto"/>
                        <w:bottom w:val="none" w:sz="0" w:space="0" w:color="auto"/>
                        <w:right w:val="none" w:sz="0" w:space="0" w:color="auto"/>
                      </w:divBdr>
                      <w:divsChild>
                        <w:div w:id="2044860051">
                          <w:marLeft w:val="0"/>
                          <w:marRight w:val="0"/>
                          <w:marTop w:val="0"/>
                          <w:marBottom w:val="0"/>
                          <w:divBdr>
                            <w:top w:val="none" w:sz="0" w:space="0" w:color="auto"/>
                            <w:left w:val="none" w:sz="0" w:space="0" w:color="auto"/>
                            <w:bottom w:val="none" w:sz="0" w:space="0" w:color="auto"/>
                            <w:right w:val="none" w:sz="0" w:space="0" w:color="auto"/>
                          </w:divBdr>
                          <w:divsChild>
                            <w:div w:id="957221765">
                              <w:marLeft w:val="0"/>
                              <w:marRight w:val="0"/>
                              <w:marTop w:val="0"/>
                              <w:marBottom w:val="0"/>
                              <w:divBdr>
                                <w:top w:val="none" w:sz="0" w:space="0" w:color="auto"/>
                                <w:left w:val="none" w:sz="0" w:space="0" w:color="auto"/>
                                <w:bottom w:val="none" w:sz="0" w:space="0" w:color="auto"/>
                                <w:right w:val="none" w:sz="0" w:space="0" w:color="auto"/>
                              </w:divBdr>
                              <w:divsChild>
                                <w:div w:id="1989047391">
                                  <w:marLeft w:val="0"/>
                                  <w:marRight w:val="0"/>
                                  <w:marTop w:val="0"/>
                                  <w:marBottom w:val="0"/>
                                  <w:divBdr>
                                    <w:top w:val="none" w:sz="0" w:space="0" w:color="auto"/>
                                    <w:left w:val="none" w:sz="0" w:space="0" w:color="auto"/>
                                    <w:bottom w:val="none" w:sz="0" w:space="0" w:color="auto"/>
                                    <w:right w:val="none" w:sz="0" w:space="0" w:color="auto"/>
                                  </w:divBdr>
                                </w:div>
                                <w:div w:id="3432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5560">
                      <w:marLeft w:val="0"/>
                      <w:marRight w:val="0"/>
                      <w:marTop w:val="0"/>
                      <w:marBottom w:val="0"/>
                      <w:divBdr>
                        <w:top w:val="none" w:sz="0" w:space="0" w:color="auto"/>
                        <w:left w:val="none" w:sz="0" w:space="0" w:color="auto"/>
                        <w:bottom w:val="none" w:sz="0" w:space="0" w:color="auto"/>
                        <w:right w:val="none" w:sz="0" w:space="0" w:color="auto"/>
                      </w:divBdr>
                      <w:divsChild>
                        <w:div w:id="872380225">
                          <w:marLeft w:val="0"/>
                          <w:marRight w:val="0"/>
                          <w:marTop w:val="0"/>
                          <w:marBottom w:val="0"/>
                          <w:divBdr>
                            <w:top w:val="none" w:sz="0" w:space="0" w:color="auto"/>
                            <w:left w:val="none" w:sz="0" w:space="0" w:color="auto"/>
                            <w:bottom w:val="none" w:sz="0" w:space="0" w:color="auto"/>
                            <w:right w:val="none" w:sz="0" w:space="0" w:color="auto"/>
                          </w:divBdr>
                          <w:divsChild>
                            <w:div w:id="1948154756">
                              <w:marLeft w:val="0"/>
                              <w:marRight w:val="0"/>
                              <w:marTop w:val="0"/>
                              <w:marBottom w:val="0"/>
                              <w:divBdr>
                                <w:top w:val="none" w:sz="0" w:space="0" w:color="auto"/>
                                <w:left w:val="none" w:sz="0" w:space="0" w:color="auto"/>
                                <w:bottom w:val="none" w:sz="0" w:space="0" w:color="auto"/>
                                <w:right w:val="none" w:sz="0" w:space="0" w:color="auto"/>
                              </w:divBdr>
                              <w:divsChild>
                                <w:div w:id="934089647">
                                  <w:marLeft w:val="0"/>
                                  <w:marRight w:val="0"/>
                                  <w:marTop w:val="0"/>
                                  <w:marBottom w:val="0"/>
                                  <w:divBdr>
                                    <w:top w:val="none" w:sz="0" w:space="0" w:color="auto"/>
                                    <w:left w:val="none" w:sz="0" w:space="0" w:color="auto"/>
                                    <w:bottom w:val="none" w:sz="0" w:space="0" w:color="auto"/>
                                    <w:right w:val="none" w:sz="0" w:space="0" w:color="auto"/>
                                  </w:divBdr>
                                </w:div>
                                <w:div w:id="5304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137414">
          <w:marLeft w:val="0"/>
          <w:marRight w:val="0"/>
          <w:marTop w:val="0"/>
          <w:marBottom w:val="0"/>
          <w:divBdr>
            <w:top w:val="none" w:sz="0" w:space="0" w:color="auto"/>
            <w:left w:val="none" w:sz="0" w:space="0" w:color="auto"/>
            <w:bottom w:val="none" w:sz="0" w:space="0" w:color="auto"/>
            <w:right w:val="none" w:sz="0" w:space="0" w:color="auto"/>
          </w:divBdr>
        </w:div>
      </w:divsChild>
    </w:div>
    <w:div w:id="1929270090">
      <w:bodyDiv w:val="1"/>
      <w:marLeft w:val="0"/>
      <w:marRight w:val="0"/>
      <w:marTop w:val="0"/>
      <w:marBottom w:val="0"/>
      <w:divBdr>
        <w:top w:val="none" w:sz="0" w:space="0" w:color="auto"/>
        <w:left w:val="none" w:sz="0" w:space="0" w:color="auto"/>
        <w:bottom w:val="none" w:sz="0" w:space="0" w:color="auto"/>
        <w:right w:val="none" w:sz="0" w:space="0" w:color="auto"/>
      </w:divBdr>
      <w:divsChild>
        <w:div w:id="956445838">
          <w:marLeft w:val="0"/>
          <w:marRight w:val="0"/>
          <w:marTop w:val="0"/>
          <w:marBottom w:val="0"/>
          <w:divBdr>
            <w:top w:val="none" w:sz="0" w:space="0" w:color="auto"/>
            <w:left w:val="none" w:sz="0" w:space="0" w:color="auto"/>
            <w:bottom w:val="none" w:sz="0" w:space="0" w:color="auto"/>
            <w:right w:val="none" w:sz="0" w:space="0" w:color="auto"/>
          </w:divBdr>
        </w:div>
      </w:divsChild>
    </w:div>
    <w:div w:id="1929577347">
      <w:bodyDiv w:val="1"/>
      <w:marLeft w:val="0"/>
      <w:marRight w:val="0"/>
      <w:marTop w:val="0"/>
      <w:marBottom w:val="0"/>
      <w:divBdr>
        <w:top w:val="none" w:sz="0" w:space="0" w:color="auto"/>
        <w:left w:val="none" w:sz="0" w:space="0" w:color="auto"/>
        <w:bottom w:val="none" w:sz="0" w:space="0" w:color="auto"/>
        <w:right w:val="none" w:sz="0" w:space="0" w:color="auto"/>
      </w:divBdr>
      <w:divsChild>
        <w:div w:id="1899364652">
          <w:marLeft w:val="0"/>
          <w:marRight w:val="0"/>
          <w:marTop w:val="0"/>
          <w:marBottom w:val="0"/>
          <w:divBdr>
            <w:top w:val="none" w:sz="0" w:space="0" w:color="auto"/>
            <w:left w:val="none" w:sz="0" w:space="0" w:color="auto"/>
            <w:bottom w:val="none" w:sz="0" w:space="0" w:color="auto"/>
            <w:right w:val="none" w:sz="0" w:space="0" w:color="auto"/>
          </w:divBdr>
          <w:divsChild>
            <w:div w:id="1670017792">
              <w:marLeft w:val="0"/>
              <w:marRight w:val="0"/>
              <w:marTop w:val="0"/>
              <w:marBottom w:val="0"/>
              <w:divBdr>
                <w:top w:val="none" w:sz="0" w:space="0" w:color="auto"/>
                <w:left w:val="single" w:sz="6" w:space="19" w:color="ECECEC"/>
                <w:bottom w:val="none" w:sz="0" w:space="0" w:color="auto"/>
                <w:right w:val="none" w:sz="0" w:space="0" w:color="auto"/>
              </w:divBdr>
              <w:divsChild>
                <w:div w:id="492338804">
                  <w:marLeft w:val="0"/>
                  <w:marRight w:val="0"/>
                  <w:marTop w:val="0"/>
                  <w:marBottom w:val="75"/>
                  <w:divBdr>
                    <w:top w:val="none" w:sz="0" w:space="0" w:color="auto"/>
                    <w:left w:val="none" w:sz="0" w:space="0" w:color="auto"/>
                    <w:bottom w:val="none" w:sz="0" w:space="0" w:color="auto"/>
                    <w:right w:val="none" w:sz="0" w:space="0" w:color="auto"/>
                  </w:divBdr>
                </w:div>
                <w:div w:id="14940254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9817741">
          <w:marLeft w:val="0"/>
          <w:marRight w:val="0"/>
          <w:marTop w:val="0"/>
          <w:marBottom w:val="0"/>
          <w:divBdr>
            <w:top w:val="none" w:sz="0" w:space="0" w:color="auto"/>
            <w:left w:val="none" w:sz="0" w:space="0" w:color="auto"/>
            <w:bottom w:val="none" w:sz="0" w:space="0" w:color="auto"/>
            <w:right w:val="none" w:sz="0" w:space="0" w:color="auto"/>
          </w:divBdr>
          <w:divsChild>
            <w:div w:id="1846627081">
              <w:marLeft w:val="0"/>
              <w:marRight w:val="0"/>
              <w:marTop w:val="0"/>
              <w:marBottom w:val="0"/>
              <w:divBdr>
                <w:top w:val="none" w:sz="0" w:space="0" w:color="auto"/>
                <w:left w:val="single" w:sz="6" w:space="19" w:color="ECECEC"/>
                <w:bottom w:val="none" w:sz="0" w:space="0" w:color="auto"/>
                <w:right w:val="none" w:sz="0" w:space="0" w:color="auto"/>
              </w:divBdr>
              <w:divsChild>
                <w:div w:id="238754523">
                  <w:marLeft w:val="0"/>
                  <w:marRight w:val="0"/>
                  <w:marTop w:val="0"/>
                  <w:marBottom w:val="75"/>
                  <w:divBdr>
                    <w:top w:val="none" w:sz="0" w:space="0" w:color="auto"/>
                    <w:left w:val="none" w:sz="0" w:space="0" w:color="auto"/>
                    <w:bottom w:val="none" w:sz="0" w:space="0" w:color="auto"/>
                    <w:right w:val="none" w:sz="0" w:space="0" w:color="auto"/>
                  </w:divBdr>
                </w:div>
                <w:div w:id="1391729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7652878">
          <w:marLeft w:val="0"/>
          <w:marRight w:val="0"/>
          <w:marTop w:val="0"/>
          <w:marBottom w:val="0"/>
          <w:divBdr>
            <w:top w:val="none" w:sz="0" w:space="0" w:color="auto"/>
            <w:left w:val="none" w:sz="0" w:space="0" w:color="auto"/>
            <w:bottom w:val="none" w:sz="0" w:space="0" w:color="auto"/>
            <w:right w:val="none" w:sz="0" w:space="0" w:color="auto"/>
          </w:divBdr>
          <w:divsChild>
            <w:div w:id="334454254">
              <w:marLeft w:val="0"/>
              <w:marRight w:val="0"/>
              <w:marTop w:val="0"/>
              <w:marBottom w:val="0"/>
              <w:divBdr>
                <w:top w:val="none" w:sz="0" w:space="0" w:color="auto"/>
                <w:left w:val="single" w:sz="6" w:space="19" w:color="ECECEC"/>
                <w:bottom w:val="none" w:sz="0" w:space="0" w:color="auto"/>
                <w:right w:val="none" w:sz="0" w:space="0" w:color="auto"/>
              </w:divBdr>
              <w:divsChild>
                <w:div w:id="626470692">
                  <w:marLeft w:val="0"/>
                  <w:marRight w:val="0"/>
                  <w:marTop w:val="0"/>
                  <w:marBottom w:val="75"/>
                  <w:divBdr>
                    <w:top w:val="none" w:sz="0" w:space="0" w:color="auto"/>
                    <w:left w:val="none" w:sz="0" w:space="0" w:color="auto"/>
                    <w:bottom w:val="none" w:sz="0" w:space="0" w:color="auto"/>
                    <w:right w:val="none" w:sz="0" w:space="0" w:color="auto"/>
                  </w:divBdr>
                </w:div>
                <w:div w:id="442068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6332751">
          <w:marLeft w:val="0"/>
          <w:marRight w:val="0"/>
          <w:marTop w:val="0"/>
          <w:marBottom w:val="0"/>
          <w:divBdr>
            <w:top w:val="none" w:sz="0" w:space="0" w:color="auto"/>
            <w:left w:val="none" w:sz="0" w:space="0" w:color="auto"/>
            <w:bottom w:val="none" w:sz="0" w:space="0" w:color="auto"/>
            <w:right w:val="none" w:sz="0" w:space="0" w:color="auto"/>
          </w:divBdr>
          <w:divsChild>
            <w:div w:id="1899586181">
              <w:marLeft w:val="0"/>
              <w:marRight w:val="0"/>
              <w:marTop w:val="0"/>
              <w:marBottom w:val="0"/>
              <w:divBdr>
                <w:top w:val="none" w:sz="0" w:space="0" w:color="auto"/>
                <w:left w:val="single" w:sz="18" w:space="19" w:color="EA9629"/>
                <w:bottom w:val="none" w:sz="0" w:space="0" w:color="auto"/>
                <w:right w:val="none" w:sz="0" w:space="0" w:color="auto"/>
              </w:divBdr>
              <w:divsChild>
                <w:div w:id="2134401310">
                  <w:marLeft w:val="0"/>
                  <w:marRight w:val="0"/>
                  <w:marTop w:val="0"/>
                  <w:marBottom w:val="75"/>
                  <w:divBdr>
                    <w:top w:val="none" w:sz="0" w:space="0" w:color="auto"/>
                    <w:left w:val="none" w:sz="0" w:space="0" w:color="auto"/>
                    <w:bottom w:val="none" w:sz="0" w:space="0" w:color="auto"/>
                    <w:right w:val="none" w:sz="0" w:space="0" w:color="auto"/>
                  </w:divBdr>
                </w:div>
                <w:div w:id="1454713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112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nv5.com/news-events/news-releases/news-details/2023/NV5-Awarded-16-Million-Contract-for-Combined-Sewer-Overflow-Reduction-by-the-New-York-City-Department-of-Environmental-Protection/default.aspx" TargetMode="External"/><Relationship Id="rId3" Type="http://schemas.openxmlformats.org/officeDocument/2006/relationships/styles" Target="styles.xml"/><Relationship Id="rId7" Type="http://schemas.openxmlformats.org/officeDocument/2006/relationships/hyperlink" Target="https://ir.nv5.com/news-events/news-releases/news-details/2023/NV5-Acquires-Red-Technologies-Strengthens-Data-Center-and-Mission-Critical-Services-in-Asia-Pacific/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r.nv5.com/news-events/news-releases/news-details/2023/NV5-Awarded-11-million-in-Utility-Undergrounding-Battery-Storage-and-Distribution-Reliability-Contrac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7BAE-7F56-4D57-805A-8C2F15DE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dc:description/>
  <cp:lastModifiedBy>Maskey Krishnarao</cp:lastModifiedBy>
  <cp:revision>17</cp:revision>
  <cp:lastPrinted>2023-10-03T16:29:00Z</cp:lastPrinted>
  <dcterms:created xsi:type="dcterms:W3CDTF">2023-10-03T16:27:00Z</dcterms:created>
  <dcterms:modified xsi:type="dcterms:W3CDTF">2023-10-09T14:47:00Z</dcterms:modified>
</cp:coreProperties>
</file>