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C0" w:rsidRPr="00E81390" w:rsidRDefault="00AC3235" w:rsidP="00EB3BDA">
      <w:pPr>
        <w:spacing w:after="0" w:line="240" w:lineRule="auto"/>
        <w:jc w:val="center"/>
        <w:rPr>
          <w:b/>
          <w:sz w:val="24"/>
          <w:szCs w:val="24"/>
        </w:rPr>
      </w:pPr>
      <w:r w:rsidRPr="00E81390">
        <w:rPr>
          <w:b/>
          <w:sz w:val="24"/>
          <w:szCs w:val="24"/>
        </w:rPr>
        <w:t>Checking Valuation With the PEG Ratio</w:t>
      </w:r>
    </w:p>
    <w:p w:rsidR="00EB3BDA" w:rsidRPr="00E81390" w:rsidRDefault="00EB3BDA" w:rsidP="00EB3BDA">
      <w:pPr>
        <w:spacing w:after="0" w:line="240" w:lineRule="auto"/>
        <w:jc w:val="center"/>
        <w:rPr>
          <w:b/>
          <w:sz w:val="24"/>
          <w:szCs w:val="24"/>
        </w:rPr>
      </w:pPr>
    </w:p>
    <w:p w:rsidR="00EB3BDA" w:rsidRPr="00E81390" w:rsidRDefault="00EB3BDA" w:rsidP="00EB3BDA">
      <w:pPr>
        <w:spacing w:after="0" w:line="240" w:lineRule="auto"/>
        <w:rPr>
          <w:sz w:val="24"/>
          <w:szCs w:val="24"/>
        </w:rPr>
      </w:pPr>
      <w:r w:rsidRPr="00E81390">
        <w:rPr>
          <w:sz w:val="24"/>
          <w:szCs w:val="24"/>
        </w:rPr>
        <w:t xml:space="preserve">The Price-Earnings Ratio is the most widely used valuation ratio which is compared to the historical P/E ratio. This number may vary depending on how it is calculated: using trailing earnings, forward earning or a combination (two past and two future). </w:t>
      </w:r>
    </w:p>
    <w:p w:rsidR="00EB3BDA" w:rsidRPr="00E81390" w:rsidRDefault="00EB3BDA" w:rsidP="00EB3BDA">
      <w:pPr>
        <w:spacing w:after="0" w:line="240" w:lineRule="auto"/>
        <w:rPr>
          <w:sz w:val="24"/>
          <w:szCs w:val="24"/>
        </w:rPr>
      </w:pPr>
    </w:p>
    <w:p w:rsidR="009F687A" w:rsidRPr="00E81390" w:rsidRDefault="009F687A" w:rsidP="00EB3BDA">
      <w:pPr>
        <w:spacing w:after="0" w:line="240" w:lineRule="auto"/>
        <w:rPr>
          <w:sz w:val="24"/>
          <w:szCs w:val="24"/>
        </w:rPr>
      </w:pPr>
      <w:r w:rsidRPr="00E81390">
        <w:rPr>
          <w:sz w:val="24"/>
          <w:szCs w:val="24"/>
        </w:rPr>
        <w:t xml:space="preserve">The PEG Ratio divides the P/E by a growth rate which can be averages from </w:t>
      </w:r>
      <w:r w:rsidRPr="00E81390">
        <w:rPr>
          <w:b/>
          <w:sz w:val="24"/>
          <w:szCs w:val="24"/>
        </w:rPr>
        <w:t>historical</w:t>
      </w:r>
      <w:r w:rsidRPr="00E81390">
        <w:rPr>
          <w:sz w:val="24"/>
          <w:szCs w:val="24"/>
        </w:rPr>
        <w:t xml:space="preserve"> or </w:t>
      </w:r>
      <w:r w:rsidRPr="00E81390">
        <w:rPr>
          <w:b/>
          <w:sz w:val="24"/>
          <w:szCs w:val="24"/>
        </w:rPr>
        <w:t>projected</w:t>
      </w:r>
      <w:r w:rsidRPr="00E81390">
        <w:rPr>
          <w:sz w:val="24"/>
          <w:szCs w:val="24"/>
        </w:rPr>
        <w:t xml:space="preserve"> growth rates. </w:t>
      </w:r>
    </w:p>
    <w:p w:rsidR="009F687A" w:rsidRPr="00E81390" w:rsidRDefault="009F687A" w:rsidP="00EB3BDA">
      <w:pPr>
        <w:spacing w:after="0" w:line="240" w:lineRule="auto"/>
        <w:rPr>
          <w:sz w:val="24"/>
          <w:szCs w:val="24"/>
        </w:rPr>
      </w:pPr>
    </w:p>
    <w:p w:rsidR="009F687A" w:rsidRPr="00E81390" w:rsidRDefault="009F687A" w:rsidP="00EB3BDA">
      <w:pPr>
        <w:spacing w:after="0" w:line="240" w:lineRule="auto"/>
        <w:rPr>
          <w:sz w:val="24"/>
          <w:szCs w:val="24"/>
        </w:rPr>
      </w:pPr>
      <w:r w:rsidRPr="00E81390">
        <w:rPr>
          <w:sz w:val="24"/>
          <w:szCs w:val="24"/>
        </w:rPr>
        <w:t>Another complication is whether to include a adjustment for dividends in the growth. There are large and highly profitable companies that return much of their earnings</w:t>
      </w:r>
      <w:r w:rsidR="00737076" w:rsidRPr="00E81390">
        <w:rPr>
          <w:sz w:val="24"/>
          <w:szCs w:val="24"/>
        </w:rPr>
        <w:t xml:space="preserve"> to shareholders in the form of cash dividends. They may be growing slowly and appear to be significantly overvalued. The PEG doesn't take them into account. </w:t>
      </w:r>
      <w:r w:rsidR="00236CEE" w:rsidRPr="00E81390">
        <w:rPr>
          <w:sz w:val="24"/>
          <w:szCs w:val="24"/>
        </w:rPr>
        <w:t>To include the dividend (then known as a PEGY ratio) a</w:t>
      </w:r>
      <w:r w:rsidR="00737076" w:rsidRPr="00E81390">
        <w:rPr>
          <w:sz w:val="24"/>
          <w:szCs w:val="24"/>
        </w:rPr>
        <w:t>n adjustment can be made as follows:</w:t>
      </w:r>
    </w:p>
    <w:p w:rsidR="00737076" w:rsidRPr="00E81390" w:rsidRDefault="00737076" w:rsidP="00EB3BDA">
      <w:pPr>
        <w:spacing w:after="0" w:line="240" w:lineRule="auto"/>
        <w:rPr>
          <w:sz w:val="24"/>
          <w:szCs w:val="24"/>
        </w:rPr>
      </w:pPr>
    </w:p>
    <w:p w:rsidR="00737076" w:rsidRPr="00E81390" w:rsidRDefault="00737076" w:rsidP="00EB3BDA">
      <w:pPr>
        <w:spacing w:after="0" w:line="240" w:lineRule="auto"/>
        <w:rPr>
          <w:sz w:val="24"/>
          <w:szCs w:val="24"/>
        </w:rPr>
      </w:pPr>
      <w:r w:rsidRPr="00E81390">
        <w:rPr>
          <w:sz w:val="24"/>
          <w:szCs w:val="24"/>
        </w:rPr>
        <w:tab/>
      </w:r>
      <w:r w:rsidRPr="00E81390">
        <w:rPr>
          <w:sz w:val="24"/>
          <w:szCs w:val="24"/>
        </w:rPr>
        <w:tab/>
        <w:t xml:space="preserve">Dividend yield added to </w:t>
      </w:r>
      <w:r w:rsidR="00F6449B" w:rsidRPr="00E81390">
        <w:rPr>
          <w:sz w:val="24"/>
          <w:szCs w:val="24"/>
        </w:rPr>
        <w:t xml:space="preserve">projected </w:t>
      </w:r>
      <w:r w:rsidRPr="00E81390">
        <w:rPr>
          <w:sz w:val="24"/>
          <w:szCs w:val="24"/>
        </w:rPr>
        <w:t xml:space="preserve">EPS growth rate, using this number to divide </w:t>
      </w:r>
      <w:r w:rsidR="00F6449B" w:rsidRPr="00E81390">
        <w:rPr>
          <w:sz w:val="24"/>
          <w:szCs w:val="24"/>
        </w:rPr>
        <w:tab/>
      </w:r>
      <w:r w:rsidR="00F6449B" w:rsidRPr="00E81390">
        <w:rPr>
          <w:sz w:val="24"/>
          <w:szCs w:val="24"/>
        </w:rPr>
        <w:tab/>
      </w:r>
      <w:r w:rsidR="00F6449B" w:rsidRPr="00E81390">
        <w:rPr>
          <w:sz w:val="24"/>
          <w:szCs w:val="24"/>
        </w:rPr>
        <w:tab/>
      </w:r>
      <w:r w:rsidRPr="00E81390">
        <w:rPr>
          <w:sz w:val="24"/>
          <w:szCs w:val="24"/>
        </w:rPr>
        <w:t xml:space="preserve">into the projected P/E. </w:t>
      </w:r>
    </w:p>
    <w:p w:rsidR="009F687A" w:rsidRPr="00E81390" w:rsidRDefault="009F687A" w:rsidP="00EB3BDA">
      <w:pPr>
        <w:spacing w:after="0" w:line="240" w:lineRule="auto"/>
        <w:rPr>
          <w:sz w:val="24"/>
          <w:szCs w:val="24"/>
        </w:rPr>
      </w:pPr>
    </w:p>
    <w:p w:rsidR="00EB3BDA" w:rsidRPr="00E81390" w:rsidRDefault="009F687A" w:rsidP="00EB3BDA">
      <w:pPr>
        <w:spacing w:after="0" w:line="240" w:lineRule="auto"/>
        <w:rPr>
          <w:sz w:val="24"/>
          <w:szCs w:val="24"/>
        </w:rPr>
      </w:pPr>
      <w:r w:rsidRPr="00E81390">
        <w:rPr>
          <w:sz w:val="24"/>
          <w:szCs w:val="24"/>
        </w:rPr>
        <w:t xml:space="preserve">The online tools don't have this measurement but it can easily be calculated  using projected P/E and projected growth. This is what is used in Toolkit 6.   </w:t>
      </w:r>
    </w:p>
    <w:p w:rsidR="00236CEE" w:rsidRPr="00E81390" w:rsidRDefault="00236CEE" w:rsidP="00EB3BDA">
      <w:pPr>
        <w:spacing w:after="0" w:line="240" w:lineRule="auto"/>
        <w:rPr>
          <w:sz w:val="24"/>
          <w:szCs w:val="24"/>
        </w:rPr>
      </w:pPr>
    </w:p>
    <w:p w:rsidR="00236CEE" w:rsidRPr="00E81390" w:rsidRDefault="00236CEE" w:rsidP="00EB3BDA">
      <w:pPr>
        <w:spacing w:after="0" w:line="240" w:lineRule="auto"/>
        <w:rPr>
          <w:sz w:val="24"/>
          <w:szCs w:val="24"/>
        </w:rPr>
      </w:pPr>
    </w:p>
    <w:p w:rsidR="00AC3235" w:rsidRPr="00E81390" w:rsidRDefault="00236CEE" w:rsidP="00236CEE">
      <w:pPr>
        <w:rPr>
          <w:sz w:val="24"/>
          <w:szCs w:val="24"/>
        </w:rPr>
      </w:pPr>
      <w:r w:rsidRPr="00E81390">
        <w:rPr>
          <w:sz w:val="24"/>
          <w:szCs w:val="24"/>
        </w:rPr>
        <w:t xml:space="preserve">Making sense of the PEG ratio is more difficult than calculating it. Companies with high levels of growth helps to determine if the high P/E is warranted.  It should be compared with the industry average. </w:t>
      </w:r>
    </w:p>
    <w:p w:rsidR="00E81390" w:rsidRPr="00E81390" w:rsidRDefault="00F67F04" w:rsidP="00236CEE">
      <w:pPr>
        <w:rPr>
          <w:sz w:val="24"/>
          <w:szCs w:val="24"/>
        </w:rPr>
      </w:pPr>
      <w:r w:rsidRPr="00E81390">
        <w:rPr>
          <w:sz w:val="24"/>
          <w:szCs w:val="24"/>
        </w:rPr>
        <w:t xml:space="preserve">Also note that interest rates affect PEGs. When </w:t>
      </w:r>
      <w:r w:rsidR="0007216F" w:rsidRPr="00E81390">
        <w:rPr>
          <w:sz w:val="24"/>
          <w:szCs w:val="24"/>
        </w:rPr>
        <w:t>rates</w:t>
      </w:r>
      <w:r w:rsidRPr="00E81390">
        <w:rPr>
          <w:sz w:val="24"/>
          <w:szCs w:val="24"/>
        </w:rPr>
        <w:t xml:space="preserve"> are low, investors generally favor stocks compared with bonds, which raises P/Es. Interest rates also can affect the growth rates of companies.</w:t>
      </w:r>
    </w:p>
    <w:p w:rsidR="00236CEE" w:rsidRDefault="00236CEE" w:rsidP="00236CEE">
      <w:pPr>
        <w:rPr>
          <w:sz w:val="24"/>
          <w:szCs w:val="24"/>
        </w:rPr>
      </w:pPr>
      <w:r w:rsidRPr="00E81390">
        <w:rPr>
          <w:sz w:val="24"/>
          <w:szCs w:val="24"/>
        </w:rPr>
        <w:t xml:space="preserve">A company with a PEG ratio under 1.0 might be considered undervalued, while a company with a PEG over l.5 might be considered overvalued.  </w:t>
      </w:r>
      <w:r w:rsidR="00F67F04" w:rsidRPr="00E81390">
        <w:rPr>
          <w:sz w:val="24"/>
          <w:szCs w:val="24"/>
        </w:rPr>
        <w:t xml:space="preserve">Some, however, will go up to 2.0 for a PEG. </w:t>
      </w:r>
      <w:r w:rsidR="00EF557E" w:rsidRPr="00E81390">
        <w:rPr>
          <w:sz w:val="24"/>
          <w:szCs w:val="24"/>
        </w:rPr>
        <w:t xml:space="preserve">In an article in the Better Investing Magazine, Ralph </w:t>
      </w:r>
      <w:proofErr w:type="spellStart"/>
      <w:r w:rsidR="00EF557E" w:rsidRPr="00E81390">
        <w:rPr>
          <w:sz w:val="24"/>
          <w:szCs w:val="24"/>
        </w:rPr>
        <w:t>Seger</w:t>
      </w:r>
      <w:proofErr w:type="spellEnd"/>
      <w:r w:rsidR="00EF557E" w:rsidRPr="00E81390">
        <w:rPr>
          <w:sz w:val="24"/>
          <w:szCs w:val="24"/>
        </w:rPr>
        <w:t xml:space="preserve"> said he likes companies with a PEG of up to 1.1.  </w:t>
      </w:r>
      <w:r w:rsidR="00E81390">
        <w:rPr>
          <w:sz w:val="24"/>
          <w:szCs w:val="24"/>
        </w:rPr>
        <w:t xml:space="preserve"> Peter Lynch uses the following table:</w:t>
      </w:r>
    </w:p>
    <w:tbl>
      <w:tblPr>
        <w:tblStyle w:val="TableGrid"/>
        <w:tblW w:w="0" w:type="auto"/>
        <w:tblInd w:w="2808" w:type="dxa"/>
        <w:tblLook w:val="04A0"/>
      </w:tblPr>
      <w:tblGrid>
        <w:gridCol w:w="2700"/>
        <w:gridCol w:w="3060"/>
      </w:tblGrid>
      <w:tr w:rsidR="00E81390" w:rsidTr="00E81390">
        <w:tc>
          <w:tcPr>
            <w:tcW w:w="2700" w:type="dxa"/>
          </w:tcPr>
          <w:p w:rsidR="00E81390" w:rsidRDefault="00E81390" w:rsidP="00E81390">
            <w:pPr>
              <w:jc w:val="center"/>
              <w:rPr>
                <w:sz w:val="24"/>
                <w:szCs w:val="24"/>
              </w:rPr>
            </w:pPr>
            <w:r>
              <w:rPr>
                <w:sz w:val="24"/>
                <w:szCs w:val="24"/>
              </w:rPr>
              <w:t>PEG</w:t>
            </w:r>
          </w:p>
        </w:tc>
        <w:tc>
          <w:tcPr>
            <w:tcW w:w="3060" w:type="dxa"/>
          </w:tcPr>
          <w:p w:rsidR="00E81390" w:rsidRDefault="00E81390" w:rsidP="00E81390">
            <w:pPr>
              <w:jc w:val="center"/>
              <w:rPr>
                <w:sz w:val="24"/>
                <w:szCs w:val="24"/>
              </w:rPr>
            </w:pPr>
            <w:r>
              <w:rPr>
                <w:sz w:val="24"/>
                <w:szCs w:val="24"/>
              </w:rPr>
              <w:t>Evaluation</w:t>
            </w:r>
          </w:p>
        </w:tc>
      </w:tr>
      <w:tr w:rsidR="00E81390" w:rsidTr="00E81390">
        <w:tc>
          <w:tcPr>
            <w:tcW w:w="2700" w:type="dxa"/>
          </w:tcPr>
          <w:p w:rsidR="00E81390" w:rsidRDefault="00E81390" w:rsidP="00E81390">
            <w:pPr>
              <w:jc w:val="center"/>
              <w:rPr>
                <w:sz w:val="24"/>
                <w:szCs w:val="24"/>
              </w:rPr>
            </w:pPr>
            <w:r>
              <w:rPr>
                <w:sz w:val="24"/>
                <w:szCs w:val="24"/>
              </w:rPr>
              <w:t>&gt; 2.0</w:t>
            </w:r>
          </w:p>
        </w:tc>
        <w:tc>
          <w:tcPr>
            <w:tcW w:w="3060" w:type="dxa"/>
          </w:tcPr>
          <w:p w:rsidR="00E81390" w:rsidRDefault="00E81390" w:rsidP="00E81390">
            <w:pPr>
              <w:jc w:val="center"/>
              <w:rPr>
                <w:sz w:val="24"/>
                <w:szCs w:val="24"/>
              </w:rPr>
            </w:pPr>
            <w:r>
              <w:rPr>
                <w:sz w:val="24"/>
                <w:szCs w:val="24"/>
              </w:rPr>
              <w:t>Expensive</w:t>
            </w:r>
          </w:p>
        </w:tc>
      </w:tr>
      <w:tr w:rsidR="00E81390" w:rsidTr="00E81390">
        <w:tc>
          <w:tcPr>
            <w:tcW w:w="2700" w:type="dxa"/>
          </w:tcPr>
          <w:p w:rsidR="00E81390" w:rsidRDefault="00E81390" w:rsidP="00E81390">
            <w:pPr>
              <w:jc w:val="center"/>
              <w:rPr>
                <w:sz w:val="24"/>
                <w:szCs w:val="24"/>
              </w:rPr>
            </w:pPr>
            <w:r>
              <w:rPr>
                <w:sz w:val="24"/>
                <w:szCs w:val="24"/>
              </w:rPr>
              <w:t>1.5</w:t>
            </w:r>
          </w:p>
        </w:tc>
        <w:tc>
          <w:tcPr>
            <w:tcW w:w="3060" w:type="dxa"/>
          </w:tcPr>
          <w:p w:rsidR="00E81390" w:rsidRDefault="00E81390" w:rsidP="00E81390">
            <w:pPr>
              <w:jc w:val="center"/>
              <w:rPr>
                <w:sz w:val="24"/>
                <w:szCs w:val="24"/>
              </w:rPr>
            </w:pPr>
            <w:r>
              <w:rPr>
                <w:sz w:val="24"/>
                <w:szCs w:val="24"/>
              </w:rPr>
              <w:t>Consider Selling</w:t>
            </w:r>
          </w:p>
        </w:tc>
      </w:tr>
      <w:tr w:rsidR="00E81390" w:rsidTr="00E81390">
        <w:tc>
          <w:tcPr>
            <w:tcW w:w="2700" w:type="dxa"/>
          </w:tcPr>
          <w:p w:rsidR="00E81390" w:rsidRDefault="00E81390" w:rsidP="00E81390">
            <w:pPr>
              <w:jc w:val="center"/>
              <w:rPr>
                <w:sz w:val="24"/>
                <w:szCs w:val="24"/>
              </w:rPr>
            </w:pPr>
            <w:r>
              <w:rPr>
                <w:sz w:val="24"/>
                <w:szCs w:val="24"/>
              </w:rPr>
              <w:t>1.0</w:t>
            </w:r>
          </w:p>
        </w:tc>
        <w:tc>
          <w:tcPr>
            <w:tcW w:w="3060" w:type="dxa"/>
          </w:tcPr>
          <w:p w:rsidR="00E81390" w:rsidRDefault="00E81390" w:rsidP="00E81390">
            <w:pPr>
              <w:jc w:val="center"/>
              <w:rPr>
                <w:sz w:val="24"/>
                <w:szCs w:val="24"/>
              </w:rPr>
            </w:pPr>
            <w:r>
              <w:rPr>
                <w:sz w:val="24"/>
                <w:szCs w:val="24"/>
              </w:rPr>
              <w:t>Fairly Valued</w:t>
            </w:r>
          </w:p>
        </w:tc>
      </w:tr>
      <w:tr w:rsidR="00E81390" w:rsidTr="00E81390">
        <w:tc>
          <w:tcPr>
            <w:tcW w:w="2700" w:type="dxa"/>
          </w:tcPr>
          <w:p w:rsidR="00E81390" w:rsidRDefault="002A7F96" w:rsidP="00E81390">
            <w:pPr>
              <w:jc w:val="center"/>
              <w:rPr>
                <w:sz w:val="24"/>
                <w:szCs w:val="24"/>
              </w:rPr>
            </w:pPr>
            <w:r>
              <w:rPr>
                <w:sz w:val="24"/>
                <w:szCs w:val="24"/>
              </w:rPr>
              <w:t>0.5</w:t>
            </w:r>
          </w:p>
        </w:tc>
        <w:tc>
          <w:tcPr>
            <w:tcW w:w="3060" w:type="dxa"/>
          </w:tcPr>
          <w:p w:rsidR="00E81390" w:rsidRDefault="002A7F96" w:rsidP="00E81390">
            <w:pPr>
              <w:jc w:val="center"/>
              <w:rPr>
                <w:sz w:val="24"/>
                <w:szCs w:val="24"/>
              </w:rPr>
            </w:pPr>
            <w:r>
              <w:rPr>
                <w:sz w:val="24"/>
                <w:szCs w:val="24"/>
              </w:rPr>
              <w:t>Attractive</w:t>
            </w:r>
          </w:p>
        </w:tc>
      </w:tr>
    </w:tbl>
    <w:p w:rsidR="00E81390" w:rsidRDefault="00E81390" w:rsidP="00E81390">
      <w:pPr>
        <w:jc w:val="center"/>
        <w:rPr>
          <w:sz w:val="24"/>
          <w:szCs w:val="24"/>
        </w:rPr>
      </w:pPr>
    </w:p>
    <w:p w:rsidR="002A7F96" w:rsidRPr="00E81390" w:rsidRDefault="002A7F96" w:rsidP="002A7F96">
      <w:pPr>
        <w:rPr>
          <w:sz w:val="24"/>
          <w:szCs w:val="24"/>
        </w:rPr>
      </w:pPr>
      <w:r>
        <w:rPr>
          <w:sz w:val="24"/>
          <w:szCs w:val="24"/>
        </w:rPr>
        <w:t>Numbers like this tend to be much too simplistic. Mark Robertson has an excellent webinar on the PEG that can be accessed on the Better Investing web site.  Go to research/ Better Investing Magazine and search PEG.</w:t>
      </w:r>
      <w:r w:rsidR="006701A1">
        <w:rPr>
          <w:sz w:val="24"/>
          <w:szCs w:val="24"/>
        </w:rPr>
        <w:t xml:space="preserve"> I found 25 articles/webcasts to read/listen to.</w:t>
      </w:r>
      <w:r>
        <w:rPr>
          <w:sz w:val="24"/>
          <w:szCs w:val="24"/>
        </w:rPr>
        <w:t xml:space="preserve">  </w:t>
      </w:r>
    </w:p>
    <w:sectPr w:rsidR="002A7F96" w:rsidRPr="00E81390" w:rsidSect="00E813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C3235"/>
    <w:rsid w:val="0007216F"/>
    <w:rsid w:val="00236CEE"/>
    <w:rsid w:val="002A7F96"/>
    <w:rsid w:val="006701A1"/>
    <w:rsid w:val="00737076"/>
    <w:rsid w:val="009C55C0"/>
    <w:rsid w:val="009F687A"/>
    <w:rsid w:val="00AC3235"/>
    <w:rsid w:val="00E81390"/>
    <w:rsid w:val="00EB3BDA"/>
    <w:rsid w:val="00EF557E"/>
    <w:rsid w:val="00F6449B"/>
    <w:rsid w:val="00F67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Hathaway</dc:creator>
  <cp:lastModifiedBy>Linda Hathaway</cp:lastModifiedBy>
  <cp:revision>12</cp:revision>
  <dcterms:created xsi:type="dcterms:W3CDTF">2015-08-20T20:36:00Z</dcterms:created>
  <dcterms:modified xsi:type="dcterms:W3CDTF">2015-08-20T21:38:00Z</dcterms:modified>
</cp:coreProperties>
</file>