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F47C" w14:textId="3BAE4A37" w:rsidR="00D44537" w:rsidRPr="00D44537" w:rsidRDefault="004566B5" w:rsidP="00D44537">
      <w:pPr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D44537" w:rsidRPr="00D44537">
        <w:rPr>
          <w:b/>
          <w:sz w:val="22"/>
          <w:szCs w:val="22"/>
        </w:rPr>
        <w:t xml:space="preserve"> list of stock ideas </w:t>
      </w:r>
      <w:r>
        <w:rPr>
          <w:b/>
          <w:sz w:val="22"/>
          <w:szCs w:val="22"/>
        </w:rPr>
        <w:t>I</w:t>
      </w:r>
      <w:r w:rsidR="00D44537" w:rsidRPr="00D44537">
        <w:rPr>
          <w:b/>
          <w:sz w:val="22"/>
          <w:szCs w:val="22"/>
        </w:rPr>
        <w:t xml:space="preserve"> think the rest of the club </w:t>
      </w:r>
      <w:r>
        <w:rPr>
          <w:b/>
          <w:sz w:val="22"/>
          <w:szCs w:val="22"/>
        </w:rPr>
        <w:t>might like to consider</w:t>
      </w:r>
      <w:r w:rsidR="00D44537" w:rsidRPr="00D44537">
        <w:rPr>
          <w:b/>
          <w:sz w:val="22"/>
          <w:szCs w:val="22"/>
        </w:rPr>
        <w:t>.</w:t>
      </w:r>
      <w:r w:rsidR="00D44537" w:rsidRPr="00D44537">
        <w:rPr>
          <w:sz w:val="22"/>
          <w:szCs w:val="22"/>
        </w:rPr>
        <w:t xml:space="preserve"> </w:t>
      </w:r>
      <w:r>
        <w:rPr>
          <w:sz w:val="22"/>
          <w:szCs w:val="22"/>
        </w:rPr>
        <w:t>Have done a</w:t>
      </w:r>
      <w:r w:rsidR="00D44537" w:rsidRPr="00D44537">
        <w:rPr>
          <w:sz w:val="22"/>
          <w:szCs w:val="22"/>
        </w:rPr>
        <w:t xml:space="preserve"> very quick look at the SSG visual Analysis </w:t>
      </w:r>
      <w:r>
        <w:rPr>
          <w:sz w:val="22"/>
          <w:szCs w:val="22"/>
        </w:rPr>
        <w:t>of PCAR in Bivio</w:t>
      </w:r>
      <w:r w:rsidR="00D44537" w:rsidRPr="00D44537">
        <w:rPr>
          <w:sz w:val="22"/>
          <w:szCs w:val="22"/>
        </w:rPr>
        <w:t>; and it look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reasonable. Do </w:t>
      </w:r>
      <w:r>
        <w:rPr>
          <w:sz w:val="22"/>
          <w:szCs w:val="22"/>
        </w:rPr>
        <w:t>you think this</w:t>
      </w:r>
      <w:r w:rsidR="00D44537" w:rsidRPr="00D44537">
        <w:rPr>
          <w:sz w:val="22"/>
          <w:szCs w:val="22"/>
        </w:rPr>
        <w:t xml:space="preserve"> company merit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>
        <w:rPr>
          <w:sz w:val="22"/>
          <w:szCs w:val="22"/>
        </w:rPr>
        <w:t>?</w:t>
      </w:r>
      <w:r w:rsidR="0041536B">
        <w:rPr>
          <w:sz w:val="22"/>
          <w:szCs w:val="22"/>
        </w:rPr>
        <w:t xml:space="preserve"> </w:t>
      </w:r>
    </w:p>
    <w:p w14:paraId="60D31CC6" w14:textId="341349D4"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</w:t>
      </w:r>
      <w:r w:rsidR="004566B5">
        <w:rPr>
          <w:b/>
          <w:sz w:val="22"/>
          <w:szCs w:val="22"/>
        </w:rPr>
        <w:t>Gladys</w:t>
      </w:r>
      <w:r w:rsidR="00B21FE7">
        <w:rPr>
          <w:b/>
          <w:sz w:val="22"/>
          <w:szCs w:val="22"/>
        </w:rPr>
        <w:t>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  <w:r w:rsidR="004566B5">
        <w:rPr>
          <w:b/>
          <w:sz w:val="22"/>
          <w:szCs w:val="22"/>
        </w:rPr>
        <w:t>July 15, 2018</w:t>
      </w:r>
      <w:bookmarkStart w:id="0" w:name="_GoBack"/>
      <w:bookmarkEnd w:id="0"/>
    </w:p>
    <w:p w14:paraId="1E03CF25" w14:textId="77777777"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14:paraId="69BEB107" w14:textId="77777777" w:rsidTr="00D44537">
        <w:tc>
          <w:tcPr>
            <w:tcW w:w="2700" w:type="dxa"/>
          </w:tcPr>
          <w:p w14:paraId="132E718C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14:paraId="77C6B6B0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14:paraId="1D5B6BEF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14:paraId="57487C2D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14:paraId="12D0A7B6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7F6B57" w14:paraId="7F9CCC32" w14:textId="77777777" w:rsidTr="007419AE">
        <w:tc>
          <w:tcPr>
            <w:tcW w:w="2700" w:type="dxa"/>
          </w:tcPr>
          <w:p w14:paraId="76DD7528" w14:textId="7DBF7F83" w:rsidR="001B4739" w:rsidRPr="007F6B57" w:rsidRDefault="007F6B57" w:rsidP="00F8572E">
            <w:pPr>
              <w:rPr>
                <w:noProof/>
                <w:highlight w:val="yellow"/>
              </w:rPr>
            </w:pPr>
            <w:r w:rsidRPr="007F6B57">
              <w:rPr>
                <w:noProof/>
                <w:highlight w:val="yellow"/>
              </w:rPr>
              <w:drawing>
                <wp:inline distT="0" distB="0" distL="0" distR="0" wp14:anchorId="368BB50F" wp14:editId="28ADE395">
                  <wp:extent cx="1577340" cy="35623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5906" w14:textId="77777777" w:rsidR="001B4739" w:rsidRPr="007F6B57" w:rsidRDefault="001B4739" w:rsidP="00F8572E">
            <w:pPr>
              <w:rPr>
                <w:noProof/>
                <w:highlight w:val="yellow"/>
              </w:rPr>
            </w:pPr>
          </w:p>
          <w:p w14:paraId="6318AA11" w14:textId="77B3AD9B" w:rsidR="00FA4AA9" w:rsidRPr="007F6B57" w:rsidRDefault="009029B1" w:rsidP="007F6B57">
            <w:pPr>
              <w:rPr>
                <w:noProof/>
                <w:highlight w:val="yellow"/>
              </w:rPr>
            </w:pPr>
            <w:r w:rsidRPr="007C12C2">
              <w:rPr>
                <w:noProof/>
              </w:rPr>
              <w:t>(</w:t>
            </w:r>
            <w:r w:rsidR="007F6B57" w:rsidRPr="007C12C2">
              <w:rPr>
                <w:noProof/>
              </w:rPr>
              <w:t>L</w:t>
            </w:r>
            <w:r w:rsidRPr="007C12C2">
              <w:rPr>
                <w:noProof/>
              </w:rPr>
              <w:t>)</w:t>
            </w:r>
            <w:r w:rsidR="00FA4AA9" w:rsidRPr="007C12C2">
              <w:rPr>
                <w:noProof/>
              </w:rPr>
              <w:t xml:space="preserve"> </w:t>
            </w:r>
            <w:hyperlink r:id="rId8" w:history="1">
              <w:r w:rsidR="007F6B57" w:rsidRPr="007C12C2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Industrials</w:t>
              </w:r>
            </w:hyperlink>
            <w:r w:rsidR="007F6B5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 | </w:t>
            </w:r>
            <w:hyperlink r:id="rId9" w:history="1">
              <w:r w:rsidR="007F6B57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Heavy Truck &amp; Equip</w:t>
              </w:r>
            </w:hyperlink>
          </w:p>
        </w:tc>
        <w:tc>
          <w:tcPr>
            <w:tcW w:w="1123" w:type="dxa"/>
          </w:tcPr>
          <w:p w14:paraId="5A071E37" w14:textId="77777777" w:rsidR="0041107A" w:rsidRPr="007F6B57" w:rsidRDefault="0041107A" w:rsidP="0041107A">
            <w:pPr>
              <w:jc w:val="center"/>
              <w:rPr>
                <w:noProof/>
                <w:highlight w:val="yellow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PCAR </w:t>
            </w:r>
            <w:r w:rsidRPr="0041107A">
              <w:rPr>
                <w:noProof/>
              </w:rPr>
              <w:t>Nasdaq</w:t>
            </w:r>
          </w:p>
          <w:p w14:paraId="2D595832" w14:textId="798E0FF5" w:rsidR="00FA4AA9" w:rsidRPr="007F6B57" w:rsidRDefault="00FA4AA9" w:rsidP="0041107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18C1F3B4" w14:textId="77777777" w:rsidR="007C12C2" w:rsidRPr="007C12C2" w:rsidRDefault="0041107A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VL Timely Stocks in Timely Industries, and </w:t>
            </w:r>
          </w:p>
          <w:p w14:paraId="579934BA" w14:textId="69B92E12" w:rsidR="00862540" w:rsidRPr="007C12C2" w:rsidRDefault="00FA4AA9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MI screen; </w:t>
            </w:r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Par=11.4% and </w:t>
            </w:r>
            <w:proofErr w:type="spellStart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Mipar</w:t>
            </w:r>
            <w:proofErr w:type="spellEnd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=6.9%</w:t>
            </w:r>
            <w:r w:rsidR="007C12C2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, MI quality = 86</w:t>
            </w:r>
          </w:p>
          <w:p w14:paraId="2B88B71C" w14:textId="77777777" w:rsidR="005205DD" w:rsidRPr="007C12C2" w:rsidRDefault="005205DD" w:rsidP="00FA4AA9">
            <w:pPr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4B26466D" w14:textId="77777777" w:rsidR="007C12C2" w:rsidRPr="007C12C2" w:rsidRDefault="00FA4AA9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>VL FS A</w:t>
            </w:r>
            <w:r w:rsidR="00274D4D" w:rsidRPr="007C12C2">
              <w:rPr>
                <w:i/>
                <w:sz w:val="22"/>
                <w:szCs w:val="22"/>
              </w:rPr>
              <w:t xml:space="preserve">; VL EP: </w:t>
            </w:r>
            <w:r w:rsidR="0041107A" w:rsidRPr="007C12C2">
              <w:rPr>
                <w:i/>
                <w:sz w:val="22"/>
                <w:szCs w:val="22"/>
              </w:rPr>
              <w:t>6</w:t>
            </w:r>
            <w:r w:rsidRPr="007C12C2">
              <w:rPr>
                <w:i/>
                <w:sz w:val="22"/>
                <w:szCs w:val="22"/>
              </w:rPr>
              <w:t>5</w:t>
            </w:r>
            <w:r w:rsidR="00274D4D" w:rsidRPr="007C12C2">
              <w:rPr>
                <w:i/>
                <w:sz w:val="22"/>
                <w:szCs w:val="22"/>
              </w:rPr>
              <w:t xml:space="preserve">; </w:t>
            </w:r>
            <w:r w:rsidR="007C12C2" w:rsidRPr="007C12C2">
              <w:rPr>
                <w:i/>
                <w:sz w:val="22"/>
                <w:szCs w:val="22"/>
              </w:rPr>
              <w:t xml:space="preserve">VL top line growth= 18%; VL Div. Yield 3.6%.  </w:t>
            </w:r>
          </w:p>
          <w:p w14:paraId="36E58A75" w14:textId="16689BCB" w:rsidR="005205DD" w:rsidRPr="007C12C2" w:rsidRDefault="007C12C2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 xml:space="preserve">Morningstar = 4 stars; Price/FV =.86; Exemplary stewardship </w:t>
            </w:r>
          </w:p>
        </w:tc>
        <w:tc>
          <w:tcPr>
            <w:tcW w:w="5040" w:type="dxa"/>
          </w:tcPr>
          <w:p w14:paraId="0A55094F" w14:textId="77777777" w:rsidR="007F6B57" w:rsidRPr="007C12C2" w:rsidRDefault="007F6B57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7C12C2">
              <w:rPr>
                <w:sz w:val="20"/>
                <w:szCs w:val="20"/>
              </w:rPr>
              <w:t xml:space="preserve">PACCAR is a global technology leader in the design, manufacture and customer support of premium light-, medium- and heavy-duty trucks under the Kenworth, </w:t>
            </w:r>
            <w:proofErr w:type="spellStart"/>
            <w:r w:rsidRPr="007C12C2">
              <w:rPr>
                <w:sz w:val="20"/>
                <w:szCs w:val="20"/>
              </w:rPr>
              <w:t>Peterbilt</w:t>
            </w:r>
            <w:proofErr w:type="spellEnd"/>
            <w:r w:rsidRPr="007C12C2">
              <w:rPr>
                <w:sz w:val="20"/>
                <w:szCs w:val="20"/>
              </w:rPr>
              <w:t xml:space="preserve"> and DAF nameplates. PACCAR also designs and manufactures advanced diesel engines, provides financial services, information technology, and distributes truck parts related to its principal business.</w:t>
            </w:r>
          </w:p>
          <w:p w14:paraId="4CB88FB2" w14:textId="4D670D25" w:rsidR="00872151" w:rsidRPr="00245A90" w:rsidRDefault="00872151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Strong product, financial</w:t>
            </w:r>
            <w:r w:rsidR="007C12C2" w:rsidRPr="00245A90">
              <w:rPr>
                <w:sz w:val="20"/>
                <w:szCs w:val="20"/>
              </w:rPr>
              <w:t>,</w:t>
            </w:r>
            <w:r w:rsidRPr="00245A90">
              <w:rPr>
                <w:sz w:val="20"/>
                <w:szCs w:val="20"/>
              </w:rPr>
              <w:t xml:space="preserve"> and environmental leadership.</w:t>
            </w:r>
          </w:p>
          <w:p w14:paraId="3719E981" w14:textId="77777777" w:rsidR="00D268D5" w:rsidRDefault="007C12C2" w:rsidP="00F970D8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Trucking and truck replacement sales projected to be strong through 2019</w:t>
            </w:r>
            <w:r w:rsidR="000265E5">
              <w:rPr>
                <w:sz w:val="20"/>
                <w:szCs w:val="20"/>
              </w:rPr>
              <w:t xml:space="preserve">. ~60% US &amp; Canadian Sales, ~ 30% Europe, and 10% South America. </w:t>
            </w:r>
            <w:r w:rsidR="00D268D5" w:rsidRPr="00D268D5">
              <w:rPr>
                <w:sz w:val="20"/>
                <w:szCs w:val="20"/>
              </w:rPr>
              <w:t>(EU and So Am sales/ parts could be affected by trade war tariffs)</w:t>
            </w:r>
            <w:r w:rsidR="00D268D5">
              <w:rPr>
                <w:sz w:val="20"/>
                <w:szCs w:val="20"/>
              </w:rPr>
              <w:t xml:space="preserve"> </w:t>
            </w:r>
            <w:r w:rsidR="000265E5">
              <w:rPr>
                <w:sz w:val="20"/>
                <w:szCs w:val="20"/>
              </w:rPr>
              <w:t>Some truck financing/leasing operations, in addition to sales.</w:t>
            </w:r>
          </w:p>
          <w:p w14:paraId="67AC2162" w14:textId="74EA5603" w:rsidR="005205DD" w:rsidRPr="00D268D5" w:rsidRDefault="00D268D5" w:rsidP="00F970D8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SSG and Judgments. </w:t>
            </w:r>
            <w:r w:rsidR="000265E5" w:rsidRPr="00D268D5">
              <w:rPr>
                <w:sz w:val="20"/>
                <w:szCs w:val="20"/>
              </w:rPr>
              <w:t>Nice</w:t>
            </w:r>
            <w:r w:rsidR="00930E95" w:rsidRPr="00D268D5">
              <w:rPr>
                <w:sz w:val="20"/>
                <w:szCs w:val="20"/>
              </w:rPr>
              <w:t xml:space="preserve"> slant on SSG; </w:t>
            </w:r>
            <w:r w:rsidR="000265E5" w:rsidRPr="00D268D5">
              <w:rPr>
                <w:sz w:val="20"/>
                <w:szCs w:val="20"/>
              </w:rPr>
              <w:t>sales &amp; eps</w:t>
            </w:r>
            <w:r w:rsidR="00930E95" w:rsidRPr="00D268D5">
              <w:rPr>
                <w:sz w:val="20"/>
                <w:szCs w:val="20"/>
              </w:rPr>
              <w:t xml:space="preserve"> dip in 201</w:t>
            </w:r>
            <w:r w:rsidR="000265E5" w:rsidRPr="00D268D5">
              <w:rPr>
                <w:sz w:val="20"/>
                <w:szCs w:val="20"/>
              </w:rPr>
              <w:t>6</w:t>
            </w:r>
            <w:r w:rsidR="00930E95" w:rsidRPr="00D268D5">
              <w:rPr>
                <w:sz w:val="20"/>
                <w:szCs w:val="20"/>
              </w:rPr>
              <w:t xml:space="preserve"> but has come  back.  </w:t>
            </w:r>
            <w:r w:rsidR="000265E5" w:rsidRPr="00D268D5">
              <w:rPr>
                <w:sz w:val="20"/>
                <w:szCs w:val="20"/>
              </w:rPr>
              <w:t xml:space="preserve">10 </w:t>
            </w:r>
            <w:proofErr w:type="spellStart"/>
            <w:r w:rsidR="000265E5" w:rsidRPr="00D268D5">
              <w:rPr>
                <w:sz w:val="20"/>
                <w:szCs w:val="20"/>
              </w:rPr>
              <w:t>yr</w:t>
            </w:r>
            <w:proofErr w:type="spellEnd"/>
            <w:r w:rsidR="000265E5" w:rsidRPr="00D268D5">
              <w:rPr>
                <w:sz w:val="20"/>
                <w:szCs w:val="20"/>
              </w:rPr>
              <w:t xml:space="preserve"> historical sales and EPS </w:t>
            </w:r>
            <w:proofErr w:type="gramStart"/>
            <w:r w:rsidR="000265E5" w:rsidRPr="00D268D5">
              <w:rPr>
                <w:sz w:val="20"/>
                <w:szCs w:val="20"/>
              </w:rPr>
              <w:t xml:space="preserve">growth  </w:t>
            </w:r>
            <w:proofErr w:type="spellStart"/>
            <w:r w:rsidR="000265E5" w:rsidRPr="00D268D5">
              <w:rPr>
                <w:sz w:val="20"/>
                <w:szCs w:val="20"/>
              </w:rPr>
              <w:t>avg</w:t>
            </w:r>
            <w:proofErr w:type="spellEnd"/>
            <w:proofErr w:type="gramEnd"/>
            <w:r w:rsidR="000265E5" w:rsidRPr="00D268D5">
              <w:rPr>
                <w:sz w:val="20"/>
                <w:szCs w:val="20"/>
              </w:rPr>
              <w:t xml:space="preserve"> 7% &amp; 15% respectively; </w:t>
            </w:r>
            <w:r w:rsidR="00930E95" w:rsidRPr="00D268D5">
              <w:rPr>
                <w:sz w:val="20"/>
                <w:szCs w:val="20"/>
              </w:rPr>
              <w:t xml:space="preserve"> </w:t>
            </w:r>
            <w:r w:rsidR="000265E5" w:rsidRPr="00D268D5">
              <w:rPr>
                <w:sz w:val="20"/>
                <w:szCs w:val="20"/>
              </w:rPr>
              <w:t>50% debt (good for industry)</w:t>
            </w:r>
            <w:r w:rsidR="00930E95" w:rsidRPr="00D268D5">
              <w:rPr>
                <w:sz w:val="20"/>
                <w:szCs w:val="20"/>
              </w:rPr>
              <w:t>.</w:t>
            </w:r>
            <w:r w:rsidR="009029B1" w:rsidRPr="00D268D5">
              <w:rPr>
                <w:sz w:val="20"/>
                <w:szCs w:val="20"/>
              </w:rPr>
              <w:t xml:space="preserve"> </w:t>
            </w:r>
            <w:r w:rsidRPr="00D268D5">
              <w:rPr>
                <w:sz w:val="20"/>
                <w:szCs w:val="20"/>
              </w:rPr>
              <w:t xml:space="preserve">Haven’t yet </w:t>
            </w:r>
            <w:r w:rsidR="000265E5" w:rsidRPr="00D268D5">
              <w:rPr>
                <w:sz w:val="20"/>
                <w:szCs w:val="20"/>
              </w:rPr>
              <w:t>pinpoint</w:t>
            </w:r>
            <w:r w:rsidRPr="00D268D5">
              <w:rPr>
                <w:sz w:val="20"/>
                <w:szCs w:val="20"/>
              </w:rPr>
              <w:t>ed</w:t>
            </w:r>
            <w:r w:rsidR="000265E5" w:rsidRPr="00D268D5">
              <w:rPr>
                <w:sz w:val="20"/>
                <w:szCs w:val="20"/>
              </w:rPr>
              <w:t xml:space="preserve"> reason for earnings dip in 2016.</w:t>
            </w:r>
            <w:r w:rsidRPr="00D268D5">
              <w:rPr>
                <w:sz w:val="20"/>
                <w:szCs w:val="20"/>
              </w:rPr>
              <w:t xml:space="preserve"> Compound High and </w:t>
            </w:r>
            <w:proofErr w:type="spellStart"/>
            <w:r w:rsidRPr="00D268D5">
              <w:rPr>
                <w:sz w:val="20"/>
                <w:szCs w:val="20"/>
              </w:rPr>
              <w:t>Avg</w:t>
            </w:r>
            <w:proofErr w:type="spellEnd"/>
            <w:r w:rsidRPr="00D268D5">
              <w:rPr>
                <w:sz w:val="20"/>
                <w:szCs w:val="20"/>
              </w:rPr>
              <w:t xml:space="preserve"> returns range from 11-15% on my SSG.</w:t>
            </w:r>
          </w:p>
          <w:p w14:paraId="1EFD89D1" w14:textId="67688047" w:rsidR="007422B7" w:rsidRPr="00D268D5" w:rsidRDefault="00D268D5" w:rsidP="00F970D8">
            <w:pPr>
              <w:rPr>
                <w:sz w:val="20"/>
                <w:szCs w:val="20"/>
              </w:rPr>
            </w:pPr>
            <w:r w:rsidRPr="00D268D5">
              <w:rPr>
                <w:sz w:val="20"/>
                <w:szCs w:val="20"/>
              </w:rPr>
              <w:t>https://www.paccar.com/</w:t>
            </w:r>
          </w:p>
        </w:tc>
      </w:tr>
      <w:tr w:rsidR="00FB4D06" w:rsidRPr="007F6B57" w14:paraId="40234FC4" w14:textId="77777777" w:rsidTr="007419AE">
        <w:tc>
          <w:tcPr>
            <w:tcW w:w="2700" w:type="dxa"/>
          </w:tcPr>
          <w:p w14:paraId="661F47E1" w14:textId="0581A807" w:rsidR="00187162" w:rsidRPr="007C6097" w:rsidRDefault="00187162" w:rsidP="00A5694E">
            <w:pPr>
              <w:rPr>
                <w:noProof/>
              </w:rPr>
            </w:pPr>
          </w:p>
          <w:p w14:paraId="2924EB09" w14:textId="5BCBEBB9" w:rsidR="00BB20F9" w:rsidRPr="007C6097" w:rsidRDefault="00F60A98" w:rsidP="00A5694E">
            <w:pPr>
              <w:rPr>
                <w:noProof/>
              </w:rPr>
            </w:pPr>
            <w:r w:rsidRPr="007C6097">
              <w:rPr>
                <w:noProof/>
              </w:rPr>
              <w:t>IRBT – iROBOT</w:t>
            </w:r>
          </w:p>
          <w:p w14:paraId="46D8C81C" w14:textId="2B9A16A2" w:rsidR="00F60A98" w:rsidRPr="007C6097" w:rsidRDefault="00F60A98" w:rsidP="00A5694E">
            <w:pPr>
              <w:rPr>
                <w:noProof/>
              </w:rPr>
            </w:pPr>
            <w:r w:rsidRPr="007C6097">
              <w:rPr>
                <w:noProof/>
              </w:rPr>
              <w:t>(S) Technology/ Consumer Electonics</w:t>
            </w:r>
            <w:r w:rsidR="00C92FBA" w:rsidRPr="007C6097">
              <w:rPr>
                <w:noProof/>
              </w:rPr>
              <w:t>; (</w:t>
            </w:r>
            <w:r w:rsidR="00C92FBA" w:rsidRPr="007C6097">
              <w:rPr>
                <w:i/>
                <w:noProof/>
              </w:rPr>
              <w:t>Manifest categorizes it as Industrial/ Aerospace &amp; Defense)</w:t>
            </w:r>
          </w:p>
          <w:p w14:paraId="08C6026E" w14:textId="3A3C84AD" w:rsidR="00BB20F9" w:rsidRPr="007C6097" w:rsidRDefault="00BB20F9" w:rsidP="00A5694E">
            <w:pPr>
              <w:rPr>
                <w:noProof/>
              </w:rPr>
            </w:pPr>
          </w:p>
        </w:tc>
        <w:tc>
          <w:tcPr>
            <w:tcW w:w="1123" w:type="dxa"/>
          </w:tcPr>
          <w:p w14:paraId="01074CD4" w14:textId="477472AF" w:rsidR="00FB4D06" w:rsidRPr="007C6097" w:rsidRDefault="00F60A98" w:rsidP="00F01CED">
            <w:pPr>
              <w:jc w:val="center"/>
              <w:rPr>
                <w:b/>
                <w:sz w:val="22"/>
                <w:szCs w:val="22"/>
              </w:rPr>
            </w:pPr>
            <w:r w:rsidRPr="007C6097">
              <w:rPr>
                <w:b/>
                <w:sz w:val="22"/>
                <w:szCs w:val="22"/>
              </w:rPr>
              <w:t>IRBT</w:t>
            </w:r>
          </w:p>
        </w:tc>
        <w:tc>
          <w:tcPr>
            <w:tcW w:w="2591" w:type="dxa"/>
          </w:tcPr>
          <w:p w14:paraId="60C01370" w14:textId="77777777" w:rsidR="00FB4D06" w:rsidRPr="007C6097" w:rsidRDefault="00F60A98" w:rsidP="00940EE1">
            <w:pPr>
              <w:jc w:val="center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>BI Ticker Talk – Jan 29, 2018</w:t>
            </w:r>
          </w:p>
          <w:p w14:paraId="43B6A8FF" w14:textId="77777777" w:rsidR="00C92FBA" w:rsidRPr="007C6097" w:rsidRDefault="00C92FBA" w:rsidP="00940EE1">
            <w:pPr>
              <w:jc w:val="center"/>
              <w:rPr>
                <w:i/>
                <w:sz w:val="22"/>
                <w:szCs w:val="22"/>
              </w:rPr>
            </w:pPr>
          </w:p>
          <w:p w14:paraId="7741D639" w14:textId="2226DBC2" w:rsidR="00C92FBA" w:rsidRPr="007C6097" w:rsidRDefault="00C92FBA" w:rsidP="00940EE1">
            <w:pPr>
              <w:jc w:val="center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 xml:space="preserve">Manifest </w:t>
            </w:r>
            <w:r w:rsidR="007C6097" w:rsidRPr="007C6097">
              <w:rPr>
                <w:i/>
                <w:sz w:val="22"/>
                <w:szCs w:val="22"/>
              </w:rPr>
              <w:t xml:space="preserve">(MI) </w:t>
            </w:r>
            <w:r w:rsidRPr="007C6097">
              <w:rPr>
                <w:i/>
                <w:sz w:val="22"/>
                <w:szCs w:val="22"/>
              </w:rPr>
              <w:t xml:space="preserve">Screen: PAR = 10% and </w:t>
            </w:r>
            <w:proofErr w:type="spellStart"/>
            <w:r w:rsidRPr="007C6097">
              <w:rPr>
                <w:i/>
                <w:sz w:val="22"/>
                <w:szCs w:val="22"/>
              </w:rPr>
              <w:t>Mipar</w:t>
            </w:r>
            <w:proofErr w:type="spellEnd"/>
            <w:r w:rsidRPr="007C6097">
              <w:rPr>
                <w:i/>
                <w:sz w:val="22"/>
                <w:szCs w:val="22"/>
              </w:rPr>
              <w:t xml:space="preserve"> =6.8%</w:t>
            </w:r>
          </w:p>
        </w:tc>
        <w:tc>
          <w:tcPr>
            <w:tcW w:w="2226" w:type="dxa"/>
          </w:tcPr>
          <w:p w14:paraId="51631240" w14:textId="2825E00B" w:rsidR="00BB20F9" w:rsidRPr="007C6097" w:rsidRDefault="00315681" w:rsidP="007C6097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 xml:space="preserve">Reuters Analyst Consensus Estimates: 2 year Sales: </w:t>
            </w:r>
            <w:r w:rsidR="007C6097" w:rsidRPr="007C6097">
              <w:rPr>
                <w:i/>
                <w:sz w:val="22"/>
                <w:szCs w:val="22"/>
              </w:rPr>
              <w:t>~ 20%</w:t>
            </w:r>
          </w:p>
          <w:p w14:paraId="5010D45F" w14:textId="47C96F07" w:rsidR="007C6097" w:rsidRPr="007C6097" w:rsidRDefault="007C6097" w:rsidP="007C6097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 xml:space="preserve">MI Sales growth </w:t>
            </w:r>
            <w:proofErr w:type="spellStart"/>
            <w:r w:rsidRPr="007C6097">
              <w:rPr>
                <w:i/>
                <w:sz w:val="22"/>
                <w:szCs w:val="22"/>
              </w:rPr>
              <w:t>est</w:t>
            </w:r>
            <w:proofErr w:type="spellEnd"/>
            <w:r w:rsidRPr="007C6097">
              <w:rPr>
                <w:i/>
                <w:sz w:val="22"/>
                <w:szCs w:val="22"/>
              </w:rPr>
              <w:t>: 14%</w:t>
            </w:r>
          </w:p>
          <w:p w14:paraId="15B5394F" w14:textId="77777777" w:rsidR="007C6097" w:rsidRPr="007C6097" w:rsidRDefault="007C6097" w:rsidP="007C6097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>No MS review</w:t>
            </w:r>
          </w:p>
          <w:p w14:paraId="64645667" w14:textId="38059A50" w:rsidR="007C6097" w:rsidRPr="007C6097" w:rsidRDefault="007C6097" w:rsidP="007C6097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6097">
              <w:rPr>
                <w:i/>
                <w:sz w:val="22"/>
                <w:szCs w:val="22"/>
              </w:rPr>
              <w:t>CFRA = hold</w:t>
            </w:r>
          </w:p>
          <w:p w14:paraId="33C44354" w14:textId="70542F2C" w:rsidR="00C92FBA" w:rsidRPr="007C6097" w:rsidRDefault="00C92FBA" w:rsidP="00B92509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17E94A27" w14:textId="4F0EC964" w:rsidR="00FB4D06" w:rsidRPr="007C6097" w:rsidRDefault="00F60A98" w:rsidP="003D6554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proofErr w:type="gramStart"/>
            <w:r w:rsidRPr="007C6097">
              <w:rPr>
                <w:sz w:val="20"/>
                <w:szCs w:val="20"/>
              </w:rPr>
              <w:t>iRobot</w:t>
            </w:r>
            <w:proofErr w:type="gramEnd"/>
            <w:r w:rsidRPr="007C6097">
              <w:rPr>
                <w:sz w:val="20"/>
                <w:szCs w:val="20"/>
              </w:rPr>
              <w:t xml:space="preserve"> </w:t>
            </w:r>
            <w:r w:rsidR="007C6097" w:rsidRPr="007C6097">
              <w:rPr>
                <w:sz w:val="20"/>
                <w:szCs w:val="20"/>
              </w:rPr>
              <w:t>is a consumer robot company. Its portfolio includes various technologies for the connected home and various concepts in mapping, navigation, mobility and artificial intelligence.</w:t>
            </w:r>
            <w:r w:rsidR="003D6554">
              <w:rPr>
                <w:sz w:val="20"/>
                <w:szCs w:val="20"/>
              </w:rPr>
              <w:t xml:space="preserve"> </w:t>
            </w:r>
            <w:r w:rsidR="007C6097" w:rsidRPr="007C6097">
              <w:rPr>
                <w:sz w:val="20"/>
                <w:szCs w:val="20"/>
              </w:rPr>
              <w:t xml:space="preserve">Consumer products focus on both indoor and outdoor cleaning applications: Roomba floor vacuuming robots; automatic floor mopping robots; </w:t>
            </w:r>
            <w:proofErr w:type="spellStart"/>
            <w:r w:rsidR="007C6097" w:rsidRPr="007C6097">
              <w:rPr>
                <w:sz w:val="20"/>
                <w:szCs w:val="20"/>
              </w:rPr>
              <w:t>Mirra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 Pool Cleaning Robot </w:t>
            </w:r>
            <w:r w:rsidR="003D6554">
              <w:rPr>
                <w:sz w:val="20"/>
                <w:szCs w:val="20"/>
              </w:rPr>
              <w:t>for</w:t>
            </w:r>
            <w:r w:rsidR="007C6097" w:rsidRPr="007C6097">
              <w:rPr>
                <w:sz w:val="20"/>
                <w:szCs w:val="20"/>
              </w:rPr>
              <w:t xml:space="preserve"> clean</w:t>
            </w:r>
            <w:r w:rsidR="003D6554">
              <w:rPr>
                <w:sz w:val="20"/>
                <w:szCs w:val="20"/>
              </w:rPr>
              <w:t>ing</w:t>
            </w:r>
            <w:r w:rsidR="007C6097" w:rsidRPr="007C6097">
              <w:rPr>
                <w:sz w:val="20"/>
                <w:szCs w:val="20"/>
              </w:rPr>
              <w:t xml:space="preserve"> residential pools. The Company's trademarks include </w:t>
            </w:r>
            <w:proofErr w:type="spellStart"/>
            <w:r w:rsidR="007C6097" w:rsidRPr="007C6097">
              <w:rPr>
                <w:sz w:val="20"/>
                <w:szCs w:val="20"/>
              </w:rPr>
              <w:t>Scooba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spellStart"/>
            <w:r w:rsidR="007C6097" w:rsidRPr="007C6097">
              <w:rPr>
                <w:sz w:val="20"/>
                <w:szCs w:val="20"/>
              </w:rPr>
              <w:t>ViPR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spellStart"/>
            <w:r w:rsidR="007C6097" w:rsidRPr="007C6097">
              <w:rPr>
                <w:sz w:val="20"/>
                <w:szCs w:val="20"/>
              </w:rPr>
              <w:t>NorthStar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gramStart"/>
            <w:r w:rsidR="007C6097" w:rsidRPr="007C6097">
              <w:rPr>
                <w:sz w:val="20"/>
                <w:szCs w:val="20"/>
              </w:rPr>
              <w:t>Create</w:t>
            </w:r>
            <w:proofErr w:type="gram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spellStart"/>
            <w:r w:rsidR="007C6097" w:rsidRPr="007C6097">
              <w:rPr>
                <w:sz w:val="20"/>
                <w:szCs w:val="20"/>
              </w:rPr>
              <w:t>iAdapt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Aware, Home Base, </w:t>
            </w:r>
            <w:proofErr w:type="spellStart"/>
            <w:r w:rsidR="007C6097" w:rsidRPr="007C6097">
              <w:rPr>
                <w:sz w:val="20"/>
                <w:szCs w:val="20"/>
              </w:rPr>
              <w:t>Looj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spellStart"/>
            <w:r w:rsidR="007C6097" w:rsidRPr="007C6097">
              <w:rPr>
                <w:sz w:val="20"/>
                <w:szCs w:val="20"/>
              </w:rPr>
              <w:t>Braava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, </w:t>
            </w:r>
            <w:proofErr w:type="spellStart"/>
            <w:r w:rsidR="007C6097" w:rsidRPr="007C6097">
              <w:rPr>
                <w:sz w:val="20"/>
                <w:szCs w:val="20"/>
              </w:rPr>
              <w:t>vSLAM</w:t>
            </w:r>
            <w:proofErr w:type="spellEnd"/>
            <w:r w:rsidR="007C6097" w:rsidRPr="007C6097">
              <w:rPr>
                <w:sz w:val="20"/>
                <w:szCs w:val="20"/>
              </w:rPr>
              <w:t xml:space="preserve"> and Virtual Wall.</w:t>
            </w:r>
          </w:p>
        </w:tc>
      </w:tr>
      <w:tr w:rsidR="00BE7DEA" w:rsidRPr="007F6B57" w14:paraId="44085366" w14:textId="77777777" w:rsidTr="007419AE">
        <w:tc>
          <w:tcPr>
            <w:tcW w:w="2700" w:type="dxa"/>
          </w:tcPr>
          <w:p w14:paraId="35D72D22" w14:textId="78538AED" w:rsidR="009C1850" w:rsidRPr="007F6B57" w:rsidRDefault="009C1850" w:rsidP="00592937">
            <w:pPr>
              <w:rPr>
                <w:noProof/>
                <w:highlight w:val="yellow"/>
              </w:rPr>
            </w:pPr>
          </w:p>
          <w:p w14:paraId="6E06DD35" w14:textId="77777777" w:rsidR="009C1850" w:rsidRPr="007F6B57" w:rsidRDefault="009C1850" w:rsidP="00592937">
            <w:pPr>
              <w:rPr>
                <w:noProof/>
                <w:highlight w:val="yellow"/>
              </w:rPr>
            </w:pPr>
          </w:p>
          <w:p w14:paraId="1DAD5F3D" w14:textId="7865BFCD" w:rsidR="00E07D40" w:rsidRPr="007F6B57" w:rsidRDefault="00E07D40" w:rsidP="0059293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14:paraId="5337F2C1" w14:textId="77777777" w:rsidR="009C1850" w:rsidRPr="007F6B57" w:rsidRDefault="009C1850" w:rsidP="00592937">
            <w:pPr>
              <w:jc w:val="center"/>
              <w:rPr>
                <w:noProof/>
                <w:highlight w:val="yellow"/>
              </w:rPr>
            </w:pPr>
          </w:p>
          <w:p w14:paraId="602FE9EE" w14:textId="77777777" w:rsidR="009C1850" w:rsidRPr="007F6B57" w:rsidRDefault="009C1850" w:rsidP="00592937">
            <w:pPr>
              <w:jc w:val="center"/>
              <w:rPr>
                <w:noProof/>
                <w:highlight w:val="yellow"/>
              </w:rPr>
            </w:pPr>
          </w:p>
          <w:p w14:paraId="11995CFC" w14:textId="2468B68C" w:rsidR="009C1850" w:rsidRPr="007F6B57" w:rsidRDefault="009C1850" w:rsidP="00592937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2591" w:type="dxa"/>
          </w:tcPr>
          <w:p w14:paraId="4390DA68" w14:textId="0E33E85C" w:rsidR="0009506C" w:rsidRPr="007F6B57" w:rsidRDefault="0009506C" w:rsidP="007419AE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</w:tcPr>
          <w:p w14:paraId="27179DBA" w14:textId="1BA46E9B" w:rsidR="00E07D40" w:rsidRPr="007F6B57" w:rsidRDefault="00E07D40" w:rsidP="00D03B3E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2ED36E0E" w14:textId="77777777" w:rsidR="00BE7DEA" w:rsidRPr="007F6B57" w:rsidRDefault="00BE7DEA" w:rsidP="002F6754">
            <w:pPr>
              <w:rPr>
                <w:sz w:val="20"/>
                <w:szCs w:val="20"/>
                <w:highlight w:val="yellow"/>
              </w:rPr>
            </w:pPr>
          </w:p>
          <w:p w14:paraId="500AA928" w14:textId="3EBAB451" w:rsidR="009C1850" w:rsidRPr="007F6B57" w:rsidRDefault="009C1850" w:rsidP="002F6754">
            <w:pPr>
              <w:rPr>
                <w:sz w:val="20"/>
                <w:szCs w:val="20"/>
                <w:highlight w:val="yellow"/>
              </w:rPr>
            </w:pPr>
          </w:p>
        </w:tc>
      </w:tr>
      <w:tr w:rsidR="00C112B3" w:rsidRPr="007F6B57" w14:paraId="50FA3F13" w14:textId="77777777" w:rsidTr="00D44537">
        <w:tc>
          <w:tcPr>
            <w:tcW w:w="2700" w:type="dxa"/>
          </w:tcPr>
          <w:p w14:paraId="1F5A7B52" w14:textId="35B1CB20" w:rsidR="00C112B3" w:rsidRPr="007F6B57" w:rsidRDefault="00C112B3" w:rsidP="00604A2E">
            <w:pPr>
              <w:rPr>
                <w:sz w:val="22"/>
                <w:szCs w:val="22"/>
                <w:highlight w:val="yellow"/>
              </w:rPr>
            </w:pPr>
            <w:r w:rsidRPr="007F6B57"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1123" w:type="dxa"/>
          </w:tcPr>
          <w:p w14:paraId="61116085" w14:textId="00CA4C7E" w:rsidR="00C112B3" w:rsidRPr="007F6B57" w:rsidRDefault="00C112B3" w:rsidP="00C112B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72B0C3CD" w14:textId="6BE52449" w:rsidR="00C112B3" w:rsidRPr="007F6B57" w:rsidRDefault="00C112B3" w:rsidP="00C112B3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</w:tcPr>
          <w:p w14:paraId="0254887C" w14:textId="5F4C1BEC" w:rsidR="00C112B3" w:rsidRPr="007F6B57" w:rsidRDefault="00C112B3" w:rsidP="000833CA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0004BE04" w14:textId="50ADEC4C" w:rsidR="00C112B3" w:rsidRPr="007F6B57" w:rsidRDefault="00C112B3" w:rsidP="003A6C8B">
            <w:pPr>
              <w:rPr>
                <w:sz w:val="20"/>
                <w:szCs w:val="20"/>
                <w:highlight w:val="yellow"/>
              </w:rPr>
            </w:pPr>
          </w:p>
        </w:tc>
      </w:tr>
      <w:tr w:rsidR="00DE094B" w:rsidRPr="007F6B57" w14:paraId="54664F52" w14:textId="77777777" w:rsidTr="00D44537">
        <w:tc>
          <w:tcPr>
            <w:tcW w:w="2700" w:type="dxa"/>
          </w:tcPr>
          <w:p w14:paraId="1BBA03DE" w14:textId="730699ED" w:rsidR="00FD5F80" w:rsidRPr="007F6B57" w:rsidRDefault="00FD5F80" w:rsidP="002B13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14:paraId="7B65F22D" w14:textId="5F0C8AB9" w:rsidR="00DE094B" w:rsidRPr="007F6B57" w:rsidRDefault="00DE094B" w:rsidP="00FD5F8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1108A542" w14:textId="7F32D629" w:rsidR="00DE094B" w:rsidRPr="007F6B57" w:rsidRDefault="00DE094B" w:rsidP="00C112B3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</w:tcPr>
          <w:p w14:paraId="13B880AA" w14:textId="5C4EE5DE" w:rsidR="00DE094B" w:rsidRPr="007F6B57" w:rsidRDefault="00DE094B" w:rsidP="003A2DB6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282CA944" w14:textId="59D562F8" w:rsidR="00DE094B" w:rsidRPr="007F6B57" w:rsidRDefault="00DE094B" w:rsidP="00C112B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3FDF0C6" w14:textId="727C0605" w:rsidR="00D44537" w:rsidRPr="00D44537" w:rsidRDefault="00D44537" w:rsidP="002B13EE">
      <w:pPr>
        <w:rPr>
          <w:sz w:val="22"/>
          <w:szCs w:val="22"/>
        </w:rPr>
      </w:pPr>
    </w:p>
    <w:sectPr w:rsidR="00D44537" w:rsidRPr="00D44537" w:rsidSect="00D44537">
      <w:headerReference w:type="default" r:id="rId10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FCDD" w14:textId="77777777" w:rsidR="00085621" w:rsidRDefault="00085621">
      <w:r>
        <w:separator/>
      </w:r>
    </w:p>
  </w:endnote>
  <w:endnote w:type="continuationSeparator" w:id="0">
    <w:p w14:paraId="43CDA61A" w14:textId="77777777" w:rsidR="00085621" w:rsidRDefault="0008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61EB" w14:textId="77777777" w:rsidR="00085621" w:rsidRDefault="00085621">
      <w:r>
        <w:separator/>
      </w:r>
    </w:p>
  </w:footnote>
  <w:footnote w:type="continuationSeparator" w:id="0">
    <w:p w14:paraId="4110616E" w14:textId="77777777" w:rsidR="00085621" w:rsidRDefault="0008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4135" w14:textId="2B717562" w:rsidR="00921549" w:rsidRDefault="009A207F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MicNova</w:t>
    </w:r>
    <w:r w:rsidR="00921549">
      <w:rPr>
        <w:b/>
        <w:sz w:val="40"/>
        <w:szCs w:val="40"/>
      </w:rPr>
      <w:t xml:space="preserve"> Investment Club</w:t>
    </w:r>
  </w:p>
  <w:p w14:paraId="4C9578BA" w14:textId="7B49B0DA"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  <w:r w:rsidR="009A207F">
      <w:rPr>
        <w:b/>
        <w:sz w:val="40"/>
        <w:szCs w:val="40"/>
      </w:rPr>
      <w:t xml:space="preserve"> </w:t>
    </w:r>
    <w:r w:rsidR="00CD5CE8">
      <w:rPr>
        <w:b/>
        <w:sz w:val="40"/>
        <w:szCs w:val="40"/>
      </w:rPr>
      <w:t>- 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315D"/>
    <w:multiLevelType w:val="hybridMultilevel"/>
    <w:tmpl w:val="FE9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265E5"/>
    <w:rsid w:val="00057C98"/>
    <w:rsid w:val="000833CA"/>
    <w:rsid w:val="00084A5A"/>
    <w:rsid w:val="00085621"/>
    <w:rsid w:val="0009506C"/>
    <w:rsid w:val="00095F1E"/>
    <w:rsid w:val="000960A0"/>
    <w:rsid w:val="000A6F7A"/>
    <w:rsid w:val="000B3478"/>
    <w:rsid w:val="000B3ED7"/>
    <w:rsid w:val="000C0FAD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B4739"/>
    <w:rsid w:val="001C4090"/>
    <w:rsid w:val="0020266C"/>
    <w:rsid w:val="002412D3"/>
    <w:rsid w:val="00245A90"/>
    <w:rsid w:val="00247448"/>
    <w:rsid w:val="00252EDC"/>
    <w:rsid w:val="00274D4D"/>
    <w:rsid w:val="002B13EE"/>
    <w:rsid w:val="002F6754"/>
    <w:rsid w:val="00302282"/>
    <w:rsid w:val="0030297C"/>
    <w:rsid w:val="003108A9"/>
    <w:rsid w:val="003121D8"/>
    <w:rsid w:val="00315681"/>
    <w:rsid w:val="00366A8D"/>
    <w:rsid w:val="0038387E"/>
    <w:rsid w:val="003A2DB6"/>
    <w:rsid w:val="003A6C8B"/>
    <w:rsid w:val="003D4830"/>
    <w:rsid w:val="003D5E8A"/>
    <w:rsid w:val="003D6554"/>
    <w:rsid w:val="00403503"/>
    <w:rsid w:val="00407488"/>
    <w:rsid w:val="0041107A"/>
    <w:rsid w:val="0041536B"/>
    <w:rsid w:val="00422C48"/>
    <w:rsid w:val="00427C0C"/>
    <w:rsid w:val="00432A39"/>
    <w:rsid w:val="004566B5"/>
    <w:rsid w:val="00461C1D"/>
    <w:rsid w:val="00473258"/>
    <w:rsid w:val="0047407A"/>
    <w:rsid w:val="004925DF"/>
    <w:rsid w:val="0049434F"/>
    <w:rsid w:val="00497394"/>
    <w:rsid w:val="004B1AD5"/>
    <w:rsid w:val="004C07D2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96962"/>
    <w:rsid w:val="005A34A0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22B7"/>
    <w:rsid w:val="0074717B"/>
    <w:rsid w:val="0076162E"/>
    <w:rsid w:val="00791B8B"/>
    <w:rsid w:val="00792395"/>
    <w:rsid w:val="007C12C2"/>
    <w:rsid w:val="007C6097"/>
    <w:rsid w:val="007D7CF1"/>
    <w:rsid w:val="007F6B57"/>
    <w:rsid w:val="0081176C"/>
    <w:rsid w:val="008125EE"/>
    <w:rsid w:val="00816989"/>
    <w:rsid w:val="00862540"/>
    <w:rsid w:val="00872151"/>
    <w:rsid w:val="00880AA2"/>
    <w:rsid w:val="008A0542"/>
    <w:rsid w:val="008C00C6"/>
    <w:rsid w:val="008D499B"/>
    <w:rsid w:val="008D4A60"/>
    <w:rsid w:val="008F2BD8"/>
    <w:rsid w:val="008F47BE"/>
    <w:rsid w:val="009029B1"/>
    <w:rsid w:val="00904254"/>
    <w:rsid w:val="009051FF"/>
    <w:rsid w:val="009177AB"/>
    <w:rsid w:val="00921549"/>
    <w:rsid w:val="00926393"/>
    <w:rsid w:val="00930DE4"/>
    <w:rsid w:val="00930E95"/>
    <w:rsid w:val="00935B3F"/>
    <w:rsid w:val="00940EE1"/>
    <w:rsid w:val="0095157A"/>
    <w:rsid w:val="00955022"/>
    <w:rsid w:val="00955ACB"/>
    <w:rsid w:val="00961C1F"/>
    <w:rsid w:val="009750EF"/>
    <w:rsid w:val="00982E69"/>
    <w:rsid w:val="009A207F"/>
    <w:rsid w:val="009A4415"/>
    <w:rsid w:val="009A4D23"/>
    <w:rsid w:val="009B1A2B"/>
    <w:rsid w:val="009C1850"/>
    <w:rsid w:val="009F1F61"/>
    <w:rsid w:val="009F3D20"/>
    <w:rsid w:val="009F6E73"/>
    <w:rsid w:val="00A07033"/>
    <w:rsid w:val="00A249B1"/>
    <w:rsid w:val="00A5694E"/>
    <w:rsid w:val="00A63A28"/>
    <w:rsid w:val="00A7028C"/>
    <w:rsid w:val="00A83B92"/>
    <w:rsid w:val="00A872BF"/>
    <w:rsid w:val="00A87FC7"/>
    <w:rsid w:val="00AB199F"/>
    <w:rsid w:val="00AB4B6D"/>
    <w:rsid w:val="00AD6B47"/>
    <w:rsid w:val="00AF27A7"/>
    <w:rsid w:val="00AF6530"/>
    <w:rsid w:val="00B21F4C"/>
    <w:rsid w:val="00B21FE7"/>
    <w:rsid w:val="00B26760"/>
    <w:rsid w:val="00B418A1"/>
    <w:rsid w:val="00B42592"/>
    <w:rsid w:val="00B50D1A"/>
    <w:rsid w:val="00B53D0A"/>
    <w:rsid w:val="00B85693"/>
    <w:rsid w:val="00B92509"/>
    <w:rsid w:val="00BB20F9"/>
    <w:rsid w:val="00BD392C"/>
    <w:rsid w:val="00BE6FAD"/>
    <w:rsid w:val="00BE7DEA"/>
    <w:rsid w:val="00C112B3"/>
    <w:rsid w:val="00C1180A"/>
    <w:rsid w:val="00C2544C"/>
    <w:rsid w:val="00C32487"/>
    <w:rsid w:val="00C33D2E"/>
    <w:rsid w:val="00C34454"/>
    <w:rsid w:val="00C34534"/>
    <w:rsid w:val="00C3657B"/>
    <w:rsid w:val="00C92FBA"/>
    <w:rsid w:val="00C95DDD"/>
    <w:rsid w:val="00CA4697"/>
    <w:rsid w:val="00CC39F9"/>
    <w:rsid w:val="00CD5CE8"/>
    <w:rsid w:val="00CE3AEA"/>
    <w:rsid w:val="00D0383D"/>
    <w:rsid w:val="00D03B3E"/>
    <w:rsid w:val="00D1289B"/>
    <w:rsid w:val="00D268D5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07D40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27346"/>
    <w:rsid w:val="00F518F2"/>
    <w:rsid w:val="00F60A98"/>
    <w:rsid w:val="00F71073"/>
    <w:rsid w:val="00F77DCA"/>
    <w:rsid w:val="00F8572E"/>
    <w:rsid w:val="00F970D8"/>
    <w:rsid w:val="00FA4AA9"/>
    <w:rsid w:val="00FB0EEE"/>
    <w:rsid w:val="00FB4D06"/>
    <w:rsid w:val="00FC566F"/>
    <w:rsid w:val="00FC6AC1"/>
    <w:rsid w:val="00FD01F9"/>
    <w:rsid w:val="00FD107B"/>
    <w:rsid w:val="00FD5F80"/>
    <w:rsid w:val="00FD7A74"/>
    <w:rsid w:val="00FF1D4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C2C9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ompanies?sector%5Bsector_id%5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companies?industry=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2660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gladys.henrikson@verizon.net</cp:lastModifiedBy>
  <cp:revision>2</cp:revision>
  <cp:lastPrinted>2018-01-10T21:46:00Z</cp:lastPrinted>
  <dcterms:created xsi:type="dcterms:W3CDTF">2018-07-15T13:17:00Z</dcterms:created>
  <dcterms:modified xsi:type="dcterms:W3CDTF">2018-07-15T13:17:00Z</dcterms:modified>
</cp:coreProperties>
</file>