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DD39" w14:textId="0FB872B5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</w:t>
      </w:r>
      <w:proofErr w:type="spellStart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spellEnd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30C435FE" w:rsidR="00261DF2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3A124D">
        <w:rPr>
          <w:rFonts w:asciiTheme="minorHAnsi" w:hAnsiTheme="minorHAnsi" w:cstheme="minorHAnsi"/>
          <w:b/>
          <w:u w:val="single"/>
        </w:rPr>
        <w:t>September 15</w:t>
      </w:r>
      <w:r w:rsidR="00A37A91" w:rsidRPr="00343784">
        <w:rPr>
          <w:rFonts w:asciiTheme="minorHAnsi" w:hAnsiTheme="minorHAnsi" w:cstheme="minorHAnsi"/>
          <w:b/>
          <w:u w:val="single"/>
        </w:rPr>
        <w:t>, 2020</w:t>
      </w:r>
      <w:r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Pr="00343784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A86C96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E05CC33" w14:textId="5EA6BD57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Baskar Arumugam,</w:t>
      </w:r>
      <w:r w:rsidR="005E5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proofErr w:type="spellStart"/>
      <w:r w:rsidR="00C72625" w:rsidRPr="00154E4C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proofErr w:type="spellEnd"/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7F0836" w:rsidRPr="00154E4C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Pat </w:t>
      </w:r>
      <w:proofErr w:type="spellStart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Ty Hughes, Kent Billmyer, </w:t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>Paul O’Mara</w:t>
      </w:r>
      <w:r w:rsidR="00977644">
        <w:rPr>
          <w:rFonts w:asciiTheme="minorHAnsi" w:hAnsiTheme="minorHAnsi" w:cstheme="minorHAnsi"/>
          <w:color w:val="000000"/>
          <w:sz w:val="22"/>
          <w:szCs w:val="22"/>
        </w:rPr>
        <w:t>, Kathy Emmons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A124D">
        <w:rPr>
          <w:rFonts w:asciiTheme="minorHAnsi" w:hAnsiTheme="minorHAnsi" w:cstheme="minorHAnsi"/>
          <w:color w:val="000000"/>
          <w:sz w:val="22"/>
          <w:szCs w:val="22"/>
        </w:rPr>
        <w:t xml:space="preserve">Jonathan </w:t>
      </w:r>
      <w:proofErr w:type="spellStart"/>
      <w:r w:rsidR="003A124D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3A124D">
        <w:rPr>
          <w:rFonts w:asciiTheme="minorHAnsi" w:hAnsiTheme="minorHAnsi" w:cstheme="minorHAnsi"/>
          <w:color w:val="000000"/>
          <w:sz w:val="22"/>
          <w:szCs w:val="22"/>
        </w:rPr>
        <w:t>, Amy Laing, Wilbert Nixon.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35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5C308" w14:textId="3DBA9523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 xml:space="preserve">Maskey </w:t>
      </w:r>
      <w:r w:rsidR="005E5F70">
        <w:rPr>
          <w:rFonts w:ascii="Verdana" w:hAnsi="Verdana"/>
          <w:color w:val="000000"/>
          <w:sz w:val="19"/>
          <w:szCs w:val="19"/>
          <w:shd w:val="clear" w:color="auto" w:fill="FFFFFF"/>
        </w:rPr>
        <w:t>Krishnarao</w:t>
      </w:r>
    </w:p>
    <w:p w14:paraId="0B380E3C" w14:textId="087985C6" w:rsidR="00D96F6D" w:rsidRPr="00154E4C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sz w:val="22"/>
          <w:szCs w:val="22"/>
        </w:rPr>
        <w:tab/>
      </w:r>
      <w:r w:rsidR="003A124D">
        <w:rPr>
          <w:rFonts w:asciiTheme="minorHAnsi" w:hAnsiTheme="minorHAnsi" w:cstheme="minorHAnsi"/>
          <w:sz w:val="22"/>
          <w:szCs w:val="22"/>
        </w:rPr>
        <w:t xml:space="preserve">Arvind </w:t>
      </w:r>
      <w:r w:rsidR="005E5F70">
        <w:rPr>
          <w:rFonts w:asciiTheme="minorHAnsi" w:hAnsiTheme="minorHAnsi" w:cstheme="minorHAnsi"/>
          <w:sz w:val="22"/>
          <w:szCs w:val="22"/>
        </w:rPr>
        <w:t>for Maskey</w:t>
      </w:r>
    </w:p>
    <w:p w14:paraId="7F613E1C" w14:textId="0C03FCD7" w:rsidR="003738FF" w:rsidRDefault="00EB06F5" w:rsidP="003738FF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&amp; other) </w:t>
      </w:r>
      <w:r w:rsidR="00D96F6D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Visitors Present: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 </w:t>
      </w:r>
      <w:r w:rsidR="003A124D">
        <w:rPr>
          <w:rFonts w:ascii="Arial" w:hAnsi="Arial" w:cs="Arial"/>
          <w:color w:val="000000"/>
          <w:sz w:val="20"/>
          <w:szCs w:val="20"/>
        </w:rPr>
        <w:t>Lee Outla</w:t>
      </w:r>
      <w:r w:rsidR="00397F54">
        <w:rPr>
          <w:rFonts w:ascii="Arial" w:hAnsi="Arial" w:cs="Arial"/>
          <w:color w:val="000000"/>
          <w:sz w:val="20"/>
          <w:szCs w:val="20"/>
        </w:rPr>
        <w:t>w</w:t>
      </w:r>
      <w:r w:rsidR="003A124D">
        <w:rPr>
          <w:rFonts w:ascii="Arial" w:hAnsi="Arial" w:cs="Arial"/>
          <w:color w:val="000000"/>
          <w:sz w:val="20"/>
          <w:szCs w:val="20"/>
        </w:rPr>
        <w:t xml:space="preserve">, Carol </w:t>
      </w:r>
      <w:proofErr w:type="spellStart"/>
      <w:r w:rsidR="003A124D">
        <w:rPr>
          <w:rFonts w:ascii="Arial" w:hAnsi="Arial" w:cs="Arial"/>
          <w:color w:val="000000"/>
          <w:sz w:val="20"/>
          <w:szCs w:val="20"/>
        </w:rPr>
        <w:t>Cuddihy</w:t>
      </w:r>
      <w:proofErr w:type="spellEnd"/>
      <w:r w:rsidR="005E5F70">
        <w:rPr>
          <w:rFonts w:ascii="Arial" w:hAnsi="Arial" w:cs="Arial"/>
          <w:color w:val="000000"/>
          <w:sz w:val="20"/>
          <w:szCs w:val="20"/>
        </w:rPr>
        <w:t xml:space="preserve">, 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Fred Beckman, </w:t>
      </w:r>
      <w:r w:rsidR="005E5F70">
        <w:rPr>
          <w:rFonts w:ascii="Arial" w:hAnsi="Arial" w:cs="Arial"/>
          <w:color w:val="000000"/>
          <w:sz w:val="20"/>
          <w:szCs w:val="20"/>
        </w:rPr>
        <w:t xml:space="preserve">Anne Bradley, </w:t>
      </w:r>
      <w:r w:rsidR="0000066E">
        <w:rPr>
          <w:rFonts w:ascii="Arial" w:hAnsi="Arial" w:cs="Arial"/>
          <w:color w:val="000000"/>
          <w:sz w:val="20"/>
          <w:szCs w:val="20"/>
        </w:rPr>
        <w:t>Lucinda Brunso</w:t>
      </w:r>
      <w:r w:rsidR="005E5F70">
        <w:rPr>
          <w:rFonts w:ascii="Arial" w:hAnsi="Arial" w:cs="Arial"/>
          <w:color w:val="000000"/>
          <w:sz w:val="20"/>
          <w:szCs w:val="20"/>
        </w:rPr>
        <w:t>n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24D">
        <w:rPr>
          <w:rFonts w:ascii="Arial" w:hAnsi="Arial" w:cs="Arial"/>
          <w:color w:val="000000"/>
          <w:sz w:val="20"/>
          <w:szCs w:val="20"/>
        </w:rPr>
        <w:t>Winston Barber, Linda Hunt</w:t>
      </w:r>
    </w:p>
    <w:p w14:paraId="1FA8F605" w14:textId="77777777" w:rsidR="00623E88" w:rsidRDefault="00623E88" w:rsidP="00C30827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32563" w14:textId="56D464C1" w:rsidR="00350AC7" w:rsidRDefault="00350AC7" w:rsidP="00350AC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Baskar,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MicNova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President,</w:t>
      </w:r>
      <w:r w:rsidR="00373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154E4C">
        <w:rPr>
          <w:rFonts w:asciiTheme="minorHAnsi" w:hAnsiTheme="minorHAnsi" w:cstheme="minorHAnsi"/>
          <w:sz w:val="22"/>
          <w:szCs w:val="22"/>
        </w:rPr>
        <w:t>w</w:t>
      </w:r>
      <w:r w:rsidR="003A737D" w:rsidRPr="00154E4C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154E4C">
        <w:rPr>
          <w:rFonts w:asciiTheme="minorHAnsi" w:hAnsiTheme="minorHAnsi" w:cstheme="minorHAnsi"/>
          <w:sz w:val="22"/>
          <w:szCs w:val="22"/>
        </w:rPr>
        <w:t>and</w:t>
      </w:r>
      <w:r w:rsidR="003B057E" w:rsidRPr="00154E4C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154E4C">
        <w:rPr>
          <w:rFonts w:asciiTheme="minorHAnsi" w:hAnsiTheme="minorHAnsi" w:cstheme="minorHAnsi"/>
          <w:sz w:val="22"/>
          <w:szCs w:val="22"/>
        </w:rPr>
        <w:t>explained the club’s purpose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3A737D" w:rsidRPr="0015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reviewed announcements of upcoming events listed on the Agenda,</w:t>
      </w:r>
      <w:r w:rsidR="00AB3377" w:rsidRPr="00154E4C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154E4C">
        <w:rPr>
          <w:rFonts w:asciiTheme="minorHAnsi" w:hAnsiTheme="minorHAnsi" w:cstheme="minorHAnsi"/>
          <w:sz w:val="22"/>
          <w:szCs w:val="22"/>
        </w:rPr>
        <w:t xml:space="preserve">conducted the meeting. </w:t>
      </w:r>
      <w:r w:rsidR="00017D8E">
        <w:rPr>
          <w:rFonts w:asciiTheme="minorHAnsi" w:hAnsiTheme="minorHAnsi" w:cstheme="minorHAnsi"/>
          <w:sz w:val="22"/>
          <w:szCs w:val="22"/>
        </w:rPr>
        <w:t>Events closest to our October meeting are listed below, under “Upcoming Events”:</w:t>
      </w:r>
    </w:p>
    <w:p w14:paraId="07FEC366" w14:textId="56C4FACF" w:rsidR="00C25F17" w:rsidRPr="00017D8E" w:rsidRDefault="001F6F3F" w:rsidP="00C25F17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Upcoming Events</w:t>
      </w:r>
      <w:r w:rsidR="00607B29" w:rsidRPr="00017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</w:p>
    <w:p w14:paraId="2D2A17DB" w14:textId="37BDDE19" w:rsidR="00017D8E" w:rsidRPr="00017D8E" w:rsidRDefault="00017D8E" w:rsidP="00017D8E">
      <w:pPr>
        <w:pStyle w:val="ListParagraph"/>
        <w:numPr>
          <w:ilvl w:val="1"/>
          <w:numId w:val="30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SSG Classes online, Parts 1 and 2, Saturdays, Oct 10 and 17, from 9:30am-3:3pm online. </w:t>
      </w:r>
      <w:r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Cost: $20 for 1 day or $30 for both days. Registration through BI website or: </w:t>
      </w:r>
      <w:hyperlink r:id="rId8" w:history="1">
        <w:r w:rsidRPr="00017D8E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https://www.eventbrite.com/e/basics-of-the-ssg-and-beyond-2-sessions-tickets-119947800099</w:t>
        </w:r>
      </w:hyperlink>
    </w:p>
    <w:p w14:paraId="72647C83" w14:textId="52F1F03F" w:rsidR="00017D8E" w:rsidRPr="00017D8E" w:rsidRDefault="00017D8E" w:rsidP="00017D8E">
      <w:pPr>
        <w:pStyle w:val="ListParagraph"/>
        <w:numPr>
          <w:ilvl w:val="1"/>
          <w:numId w:val="30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Money Matters Book Club, Tue, Oct 13, 7</w:t>
      </w:r>
      <w:r w:rsidR="00200FA2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9pm online.</w:t>
      </w:r>
      <w:r w:rsidRPr="00017D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October book: Invested:</w:t>
      </w:r>
      <w:r w:rsidR="00A158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17D8E">
        <w:rPr>
          <w:rFonts w:asciiTheme="minorHAnsi" w:hAnsiTheme="minorHAnsi" w:cstheme="minorHAnsi"/>
          <w:sz w:val="22"/>
          <w:szCs w:val="22"/>
          <w:shd w:val="clear" w:color="auto" w:fill="FFFFFF"/>
        </w:rPr>
        <w:t>Changing</w:t>
      </w:r>
      <w:r w:rsidR="00A158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</w:t>
      </w:r>
      <w:r w:rsidRPr="00017D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orever the Way America Invests, by Charles Schwab. Free. Link- </w:t>
      </w:r>
      <w:proofErr w:type="gramStart"/>
      <w:r w:rsidRPr="00017D8E">
        <w:rPr>
          <w:rFonts w:asciiTheme="minorHAnsi" w:hAnsiTheme="minorHAnsi" w:cstheme="minorHAnsi"/>
          <w:sz w:val="22"/>
          <w:szCs w:val="22"/>
          <w:shd w:val="clear" w:color="auto" w:fill="FFFFFF"/>
        </w:rPr>
        <w:t>https:www.betterinvesting.org/chapters/dc-regional/local0events/money-matters-book-discussion-september</w:t>
      </w:r>
      <w:proofErr w:type="gramEnd"/>
      <w:r w:rsidRPr="00017D8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35AF0AA" w14:textId="1A4C8504" w:rsidR="00343784" w:rsidRPr="00017D8E" w:rsidRDefault="000B2BDB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="00786F4B" w:rsidRPr="00017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017D8E" w:rsidRPr="00017D8E">
        <w:rPr>
          <w:rFonts w:asciiTheme="minorHAnsi" w:hAnsiTheme="minorHAnsi" w:cstheme="minorHAnsi"/>
          <w:color w:val="000000"/>
          <w:sz w:val="22"/>
          <w:szCs w:val="22"/>
        </w:rPr>
        <w:t>August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minutes </w:t>
      </w:r>
      <w:r w:rsidR="00607B29" w:rsidRPr="00017D8E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3A4F2C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pos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>ted in Bivio folder</w:t>
      </w:r>
      <w:r w:rsidR="00050E32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B29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(Public/Minutes/2020) </w:t>
      </w:r>
      <w:r w:rsidR="00050E32" w:rsidRPr="00017D8E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7D8E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were 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approved </w:t>
      </w:r>
      <w:r w:rsidR="00013FB6" w:rsidRPr="00017D8E">
        <w:rPr>
          <w:rFonts w:asciiTheme="minorHAnsi" w:hAnsiTheme="minorHAnsi" w:cstheme="minorHAnsi"/>
          <w:color w:val="000000"/>
          <w:sz w:val="22"/>
          <w:szCs w:val="22"/>
        </w:rPr>
        <w:t>unanimously.</w:t>
      </w:r>
      <w:r w:rsidR="00526364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1540E20" w14:textId="6E5CE214" w:rsidR="001F6F3F" w:rsidRPr="00017D8E" w:rsidRDefault="001F6F3F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Treasurer’s Report</w:t>
      </w:r>
      <w:r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F17" w:rsidRPr="00017D8E">
        <w:rPr>
          <w:rFonts w:asciiTheme="minorHAnsi" w:hAnsiTheme="minorHAnsi" w:cstheme="minorHAnsi"/>
          <w:color w:val="000000"/>
          <w:sz w:val="22"/>
          <w:szCs w:val="22"/>
        </w:rPr>
        <w:t>–Kent provided Treasurer’s report, approved unanimously.</w:t>
      </w:r>
    </w:p>
    <w:p w14:paraId="1F78965D" w14:textId="7A09855D" w:rsidR="00FA1679" w:rsidRPr="007B4C6C" w:rsidRDefault="00FA1679" w:rsidP="00F46CBC">
      <w:pPr>
        <w:numPr>
          <w:ilvl w:val="0"/>
          <w:numId w:val="27"/>
        </w:num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7B4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Stock Watcher Reports for </w:t>
      </w:r>
      <w:r w:rsidR="007B4C6C" w:rsidRPr="007B4C6C">
        <w:rPr>
          <w:rFonts w:asciiTheme="minorHAnsi" w:hAnsiTheme="minorHAnsi" w:cstheme="minorHAnsi"/>
          <w:b/>
          <w:color w:val="000000"/>
          <w:sz w:val="22"/>
          <w:szCs w:val="22"/>
        </w:rPr>
        <w:t>September</w:t>
      </w:r>
      <w:r w:rsidRPr="007B4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</w:t>
      </w:r>
      <w:r w:rsidR="005D3340" w:rsidRPr="007B4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5D3340" w:rsidRPr="007B4C6C">
        <w:rPr>
          <w:rFonts w:asciiTheme="minorHAnsi" w:hAnsiTheme="minorHAnsi" w:cstheme="minorHAnsi"/>
          <w:i/>
          <w:color w:val="000000"/>
          <w:sz w:val="22"/>
          <w:szCs w:val="22"/>
        </w:rPr>
        <w:t>Note: current stock watcher reports are filed under Portfolio in Bivio)</w:t>
      </w:r>
      <w:r w:rsidRPr="007B4C6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: </w:t>
      </w:r>
    </w:p>
    <w:tbl>
      <w:tblPr>
        <w:tblW w:w="11443" w:type="dxa"/>
        <w:tblLook w:val="04A0" w:firstRow="1" w:lastRow="0" w:firstColumn="1" w:lastColumn="0" w:noHBand="0" w:noVBand="1"/>
      </w:tblPr>
      <w:tblGrid>
        <w:gridCol w:w="741"/>
        <w:gridCol w:w="857"/>
        <w:gridCol w:w="724"/>
        <w:gridCol w:w="1039"/>
        <w:gridCol w:w="717"/>
        <w:gridCol w:w="857"/>
        <w:gridCol w:w="40"/>
        <w:gridCol w:w="644"/>
        <w:gridCol w:w="39"/>
        <w:gridCol w:w="194"/>
        <w:gridCol w:w="938"/>
        <w:gridCol w:w="90"/>
        <w:gridCol w:w="857"/>
        <w:gridCol w:w="697"/>
        <w:gridCol w:w="650"/>
        <w:gridCol w:w="587"/>
        <w:gridCol w:w="886"/>
        <w:gridCol w:w="886"/>
      </w:tblGrid>
      <w:tr w:rsidR="00234424" w:rsidRPr="007B4C6C" w14:paraId="3ED99B3B" w14:textId="66786DE1" w:rsidTr="007B4C6C">
        <w:trPr>
          <w:gridAfter w:val="3"/>
          <w:wAfter w:w="2359" w:type="dxa"/>
          <w:trHeight w:val="28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26E" w14:textId="77777777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B2DA" w14:textId="5CC35A7F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FF9" w14:textId="4643DD61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FD39" w14:textId="55F15DEE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4707" w14:textId="76628472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B0C9" w14:textId="3C7FFDDA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C2515" w14:textId="77777777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2D93" w14:textId="2E3BD2A1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Ticker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3C44" w14:textId="10A1FE13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CAB4" w14:textId="319CCAD0" w:rsidR="00234424" w:rsidRPr="007B4C6C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4C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</w:tr>
      <w:tr w:rsidR="00234424" w:rsidRPr="007B4C6C" w14:paraId="1317F601" w14:textId="6CE63899" w:rsidTr="007B4C6C">
        <w:trPr>
          <w:gridAfter w:val="3"/>
          <w:wAfter w:w="2359" w:type="dxa"/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C9A" w14:textId="4E83C5F2" w:rsidR="00234424" w:rsidRPr="007B4C6C" w:rsidRDefault="007B4C6C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45C" w14:textId="5541A08F" w:rsidR="00234424" w:rsidRPr="007B4C6C" w:rsidRDefault="007B4C6C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Amy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38F" w14:textId="51B97C51" w:rsidR="00234424" w:rsidRPr="007B4C6C" w:rsidRDefault="00234424" w:rsidP="007B4C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HOLD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DDB2" w14:textId="4B1A8284" w:rsidR="00234424" w:rsidRPr="007B4C6C" w:rsidRDefault="007B4C6C" w:rsidP="00234424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BRK.B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C0E4" w14:textId="00F8FF62" w:rsidR="00234424" w:rsidRPr="007B4C6C" w:rsidRDefault="00234424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7B4C6C" w:rsidRPr="007B4C6C">
              <w:rPr>
                <w:rFonts w:ascii="Calibri" w:hAnsi="Calibri" w:cs="Calibri"/>
                <w:color w:val="000000"/>
                <w:sz w:val="18"/>
                <w:szCs w:val="18"/>
              </w:rPr>
              <w:t>Gladys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D2C0" w14:textId="382A7FA2" w:rsidR="00234424" w:rsidRPr="007B4C6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HOLD, 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1BA6B" w14:textId="77777777" w:rsidR="00234424" w:rsidRPr="007B4C6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4449" w14:textId="5AF41BE8" w:rsidR="00234424" w:rsidRPr="007B4C6C" w:rsidRDefault="007B4C6C" w:rsidP="0023442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GNTX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845B" w14:textId="556F78A7" w:rsidR="00234424" w:rsidRPr="007B4C6C" w:rsidRDefault="007B4C6C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>Wilbert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056C0" w14:textId="02FFF9B5" w:rsidR="00234424" w:rsidRPr="007B4C6C" w:rsidRDefault="007B4C6C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>Hold/Challenge</w:t>
            </w:r>
          </w:p>
        </w:tc>
      </w:tr>
      <w:tr w:rsidR="007B4C6C" w:rsidRPr="007B4C6C" w14:paraId="2D38B0E2" w14:textId="0D1CC65D" w:rsidTr="007B4C6C">
        <w:trPr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342C" w14:textId="7F4FC9DD" w:rsidR="007B4C6C" w:rsidRPr="007B4C6C" w:rsidRDefault="007B4C6C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MNST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2A42" w14:textId="77777777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Kent</w:t>
            </w:r>
          </w:p>
          <w:p w14:paraId="02A74E8D" w14:textId="5D4DBD53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2729" w14:textId="77777777" w:rsidR="007B4C6C" w:rsidRPr="007B4C6C" w:rsidRDefault="007B4C6C" w:rsidP="007B4C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HOLD/Buy</w:t>
            </w:r>
          </w:p>
          <w:p w14:paraId="677D1D5C" w14:textId="0A64F5C4" w:rsidR="007B4C6C" w:rsidRPr="007B4C6C" w:rsidRDefault="007B4C6C" w:rsidP="007B4C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D986" w14:textId="7F0C5DDF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TROW</w:t>
            </w: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Arvind  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4065A" w14:textId="77777777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57127B" w14:textId="187A296D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8EB53" w14:textId="77777777" w:rsidR="007B4C6C" w:rsidRPr="007B4C6C" w:rsidRDefault="007B4C6C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B4C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</w:p>
          <w:p w14:paraId="1E3EDAD3" w14:textId="460BC748" w:rsidR="007B4C6C" w:rsidRPr="007B4C6C" w:rsidRDefault="007B4C6C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8EEA" w14:textId="38E1D9E1" w:rsidR="007B4C6C" w:rsidRPr="007B4C6C" w:rsidRDefault="007B4C6C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A39F" w14:textId="53BB0E1D" w:rsidR="007B4C6C" w:rsidRPr="007B4C6C" w:rsidRDefault="007B4C6C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C954" w14:textId="1E788D11" w:rsidR="007B4C6C" w:rsidRPr="007B4C6C" w:rsidRDefault="007B4C6C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DE768B1" w14:textId="77777777" w:rsidR="007B4C6C" w:rsidRPr="007B4C6C" w:rsidRDefault="007B4C6C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A75372B" w14:textId="4994B697" w:rsidR="00AD6EE6" w:rsidRPr="006C1B1F" w:rsidRDefault="00AD6EE6" w:rsidP="00E24003">
      <w:pPr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1B1F">
        <w:rPr>
          <w:rFonts w:asciiTheme="minorHAnsi" w:hAnsiTheme="minorHAnsi" w:cstheme="minorHAnsi"/>
          <w:b/>
          <w:color w:val="000000"/>
          <w:sz w:val="22"/>
          <w:szCs w:val="22"/>
        </w:rPr>
        <w:t>Education: A Walkthrough of Bivio – by Josephine (Jo) Murphy</w:t>
      </w:r>
      <w:r w:rsidR="002438FF" w:rsidRPr="006C1B1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 xml:space="preserve">Sharing her computer screen, Jo walked </w:t>
      </w:r>
      <w:proofErr w:type="spellStart"/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>MicNova</w:t>
      </w:r>
      <w:proofErr w:type="spellEnd"/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 xml:space="preserve"> through the three major sections of our Bivio folder: Accounting, Administration, and Communications. Under “Accounting” we discovered that some member contributions had not been accurately attributed. Jo suggested each member check this periodically to </w:t>
      </w:r>
      <w:r w:rsidR="003C07C1" w:rsidRPr="006C1B1F">
        <w:rPr>
          <w:rFonts w:asciiTheme="minorHAnsi" w:hAnsiTheme="minorHAnsi" w:cstheme="minorHAnsi"/>
          <w:color w:val="000000"/>
          <w:sz w:val="22"/>
          <w:szCs w:val="22"/>
        </w:rPr>
        <w:t>correct</w:t>
      </w:r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 xml:space="preserve"> this kind of error. The bulk of </w:t>
      </w:r>
      <w:proofErr w:type="spellStart"/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>MicNova</w:t>
      </w:r>
      <w:proofErr w:type="spellEnd"/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 xml:space="preserve"> files, roster, and email are found under “Communications.” Jo demonstrated how to file new </w:t>
      </w:r>
      <w:r w:rsidR="003C07C1" w:rsidRPr="006C1B1F">
        <w:rPr>
          <w:rFonts w:asciiTheme="minorHAnsi" w:hAnsiTheme="minorHAnsi" w:cstheme="minorHAnsi"/>
          <w:color w:val="000000"/>
          <w:sz w:val="22"/>
          <w:szCs w:val="22"/>
        </w:rPr>
        <w:t>studies</w:t>
      </w:r>
      <w:r w:rsidR="002438FF" w:rsidRPr="006C1B1F">
        <w:rPr>
          <w:rFonts w:asciiTheme="minorHAnsi" w:hAnsiTheme="minorHAnsi" w:cstheme="minorHAnsi"/>
          <w:color w:val="000000"/>
          <w:sz w:val="22"/>
          <w:szCs w:val="22"/>
        </w:rPr>
        <w:t xml:space="preserve"> and stock watcher reports, plus how to send email to the partners.</w:t>
      </w:r>
    </w:p>
    <w:p w14:paraId="483A2286" w14:textId="77777777" w:rsidR="00AD6EE6" w:rsidRPr="002D4B71" w:rsidRDefault="00AD6EE6" w:rsidP="00AD6EE6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3A4FA3" w14:textId="2FF77976" w:rsidR="009C640F" w:rsidRPr="002D4B71" w:rsidRDefault="00E24003" w:rsidP="00E24003">
      <w:pPr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New Stock Presentation: 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spellStart"/>
      <w:r w:rsidR="006C1B1F" w:rsidRPr="002D4B71">
        <w:rPr>
          <w:rFonts w:asciiTheme="minorHAnsi" w:hAnsiTheme="minorHAnsi" w:cstheme="minorHAnsi"/>
          <w:b/>
          <w:color w:val="000000"/>
          <w:sz w:val="22"/>
          <w:szCs w:val="22"/>
        </w:rPr>
        <w:t>Pepsico</w:t>
      </w:r>
      <w:proofErr w:type="spellEnd"/>
      <w:r w:rsidR="006C1B1F"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(PEP)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by </w:t>
      </w:r>
      <w:r w:rsidR="006C1B1F" w:rsidRPr="002D4B71">
        <w:rPr>
          <w:rFonts w:asciiTheme="minorHAnsi" w:hAnsiTheme="minorHAnsi" w:cstheme="minorHAnsi"/>
          <w:b/>
          <w:color w:val="000000"/>
          <w:sz w:val="22"/>
          <w:szCs w:val="22"/>
        </w:rPr>
        <w:t>Kathy Emmons</w:t>
      </w:r>
    </w:p>
    <w:p w14:paraId="6D0F8DF2" w14:textId="0211B607" w:rsidR="00E24003" w:rsidRPr="002D4B71" w:rsidRDefault="005C0D45" w:rsidP="00E24003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2D4B71">
        <w:rPr>
          <w:rFonts w:asciiTheme="minorHAnsi" w:hAnsiTheme="minorHAnsi" w:cstheme="minorHAnsi"/>
          <w:sz w:val="22"/>
          <w:szCs w:val="22"/>
        </w:rPr>
        <w:t>Kathy</w:t>
      </w:r>
      <w:r w:rsidR="00E24003" w:rsidRPr="002D4B71">
        <w:rPr>
          <w:rFonts w:asciiTheme="minorHAnsi" w:hAnsiTheme="minorHAnsi" w:cstheme="minorHAnsi"/>
          <w:sz w:val="22"/>
          <w:szCs w:val="22"/>
        </w:rPr>
        <w:t xml:space="preserve"> </w:t>
      </w:r>
      <w:r w:rsidR="002D4B71" w:rsidRPr="002D4B71">
        <w:rPr>
          <w:rFonts w:asciiTheme="minorHAnsi" w:hAnsiTheme="minorHAnsi" w:cstheme="minorHAnsi"/>
          <w:sz w:val="22"/>
          <w:szCs w:val="22"/>
        </w:rPr>
        <w:t>said</w:t>
      </w:r>
      <w:r w:rsidRPr="002D4B71">
        <w:rPr>
          <w:rFonts w:asciiTheme="minorHAnsi" w:hAnsiTheme="minorHAnsi" w:cstheme="minorHAnsi"/>
          <w:sz w:val="22"/>
          <w:szCs w:val="22"/>
        </w:rPr>
        <w:t xml:space="preserve"> a Washington Post article </w:t>
      </w:r>
      <w:r w:rsidR="002D4B71" w:rsidRPr="002D4B71">
        <w:rPr>
          <w:rFonts w:asciiTheme="minorHAnsi" w:hAnsiTheme="minorHAnsi" w:cstheme="minorHAnsi"/>
          <w:sz w:val="22"/>
          <w:szCs w:val="22"/>
        </w:rPr>
        <w:t>reported that</w:t>
      </w:r>
      <w:r w:rsidRPr="002D4B71">
        <w:rPr>
          <w:rFonts w:asciiTheme="minorHAnsi" w:hAnsiTheme="minorHAnsi" w:cstheme="minorHAnsi"/>
          <w:sz w:val="22"/>
          <w:szCs w:val="22"/>
        </w:rPr>
        <w:t xml:space="preserve"> increased snacking at home during the pandemic has raised sales for such large 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consumer </w:t>
      </w:r>
      <w:r w:rsidR="00CA1282">
        <w:rPr>
          <w:rFonts w:asciiTheme="minorHAnsi" w:hAnsiTheme="minorHAnsi" w:cstheme="minorHAnsi"/>
          <w:sz w:val="22"/>
          <w:szCs w:val="22"/>
        </w:rPr>
        <w:t>staples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 </w:t>
      </w:r>
      <w:r w:rsidRPr="002D4B71">
        <w:rPr>
          <w:rFonts w:asciiTheme="minorHAnsi" w:hAnsiTheme="minorHAnsi" w:cstheme="minorHAnsi"/>
          <w:sz w:val="22"/>
          <w:szCs w:val="22"/>
        </w:rPr>
        <w:t xml:space="preserve">companies as </w:t>
      </w:r>
      <w:proofErr w:type="spellStart"/>
      <w:r w:rsidRPr="002D4B71">
        <w:rPr>
          <w:rFonts w:asciiTheme="minorHAnsi" w:hAnsiTheme="minorHAnsi" w:cstheme="minorHAnsi"/>
          <w:sz w:val="22"/>
          <w:szCs w:val="22"/>
        </w:rPr>
        <w:t>Pepsico</w:t>
      </w:r>
      <w:proofErr w:type="spellEnd"/>
      <w:r w:rsidRPr="002D4B71">
        <w:rPr>
          <w:rFonts w:asciiTheme="minorHAnsi" w:hAnsiTheme="minorHAnsi" w:cstheme="minorHAnsi"/>
          <w:sz w:val="22"/>
          <w:szCs w:val="22"/>
        </w:rPr>
        <w:t xml:space="preserve">. </w:t>
      </w:r>
      <w:r w:rsidR="00E24003" w:rsidRPr="002D4B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78E5" w:rsidRPr="002D4B71">
        <w:rPr>
          <w:rFonts w:asciiTheme="minorHAnsi" w:hAnsiTheme="minorHAnsi" w:cstheme="minorHAnsi"/>
          <w:sz w:val="22"/>
          <w:szCs w:val="22"/>
        </w:rPr>
        <w:t>Pepsico</w:t>
      </w:r>
      <w:proofErr w:type="spellEnd"/>
      <w:r w:rsidR="00C678E5" w:rsidRPr="002D4B71">
        <w:rPr>
          <w:rFonts w:asciiTheme="minorHAnsi" w:hAnsiTheme="minorHAnsi" w:cstheme="minorHAnsi"/>
          <w:sz w:val="22"/>
          <w:szCs w:val="22"/>
        </w:rPr>
        <w:t xml:space="preserve"> has seen its soft drink market increase, including Gatorade, but also its snacking division such as Frito-Lay and Sabra products, and cereals- such as Quaker Oats. PEP is </w:t>
      </w:r>
      <w:r w:rsidR="002D4B71" w:rsidRPr="002D4B71">
        <w:rPr>
          <w:rFonts w:asciiTheme="minorHAnsi" w:hAnsiTheme="minorHAnsi" w:cstheme="minorHAnsi"/>
          <w:sz w:val="22"/>
          <w:szCs w:val="22"/>
        </w:rPr>
        <w:t xml:space="preserve">also </w:t>
      </w:r>
      <w:r w:rsidR="00C678E5" w:rsidRPr="002D4B71">
        <w:rPr>
          <w:rFonts w:asciiTheme="minorHAnsi" w:hAnsiTheme="minorHAnsi" w:cstheme="minorHAnsi"/>
          <w:sz w:val="22"/>
          <w:szCs w:val="22"/>
        </w:rPr>
        <w:t>expanding its</w:t>
      </w:r>
      <w:r w:rsidR="002D4B71" w:rsidRPr="002D4B71">
        <w:rPr>
          <w:rFonts w:asciiTheme="minorHAnsi" w:hAnsiTheme="minorHAnsi" w:cstheme="minorHAnsi"/>
          <w:sz w:val="22"/>
          <w:szCs w:val="22"/>
        </w:rPr>
        <w:t xml:space="preserve"> presence in the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 fast-growing energy drink</w:t>
      </w:r>
      <w:r w:rsidR="002D4B71" w:rsidRPr="002D4B71">
        <w:rPr>
          <w:rFonts w:asciiTheme="minorHAnsi" w:hAnsiTheme="minorHAnsi" w:cstheme="minorHAnsi"/>
          <w:sz w:val="22"/>
          <w:szCs w:val="22"/>
        </w:rPr>
        <w:t>s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 market. PEP</w:t>
      </w:r>
      <w:r w:rsidR="00607B29" w:rsidRPr="002D4B71">
        <w:rPr>
          <w:rFonts w:asciiTheme="minorHAnsi" w:hAnsiTheme="minorHAnsi" w:cstheme="minorHAnsi"/>
          <w:sz w:val="22"/>
          <w:szCs w:val="22"/>
        </w:rPr>
        <w:t xml:space="preserve"> 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is rated A++ in financial strength. </w:t>
      </w:r>
      <w:r w:rsidR="002D4B71" w:rsidRPr="002D4B71">
        <w:rPr>
          <w:rFonts w:asciiTheme="minorHAnsi" w:hAnsiTheme="minorHAnsi" w:cstheme="minorHAnsi"/>
          <w:sz w:val="22"/>
          <w:szCs w:val="22"/>
        </w:rPr>
        <w:t>Kathy estimated</w:t>
      </w:r>
      <w:r w:rsidR="00C678E5" w:rsidRPr="002D4B71">
        <w:rPr>
          <w:rFonts w:asciiTheme="minorHAnsi" w:hAnsiTheme="minorHAnsi" w:cstheme="minorHAnsi"/>
          <w:sz w:val="22"/>
          <w:szCs w:val="22"/>
        </w:rPr>
        <w:t xml:space="preserve"> growth between 4-</w:t>
      </w:r>
      <w:r w:rsidR="002D4B71" w:rsidRPr="002D4B71">
        <w:rPr>
          <w:rFonts w:asciiTheme="minorHAnsi" w:hAnsiTheme="minorHAnsi" w:cstheme="minorHAnsi"/>
          <w:sz w:val="22"/>
          <w:szCs w:val="22"/>
        </w:rPr>
        <w:t>9</w:t>
      </w:r>
      <w:r w:rsidR="00C678E5" w:rsidRPr="002D4B71">
        <w:rPr>
          <w:rFonts w:asciiTheme="minorHAnsi" w:hAnsiTheme="minorHAnsi" w:cstheme="minorHAnsi"/>
          <w:sz w:val="22"/>
          <w:szCs w:val="22"/>
        </w:rPr>
        <w:t>%</w:t>
      </w:r>
      <w:r w:rsidR="002D4B71" w:rsidRPr="002D4B71">
        <w:rPr>
          <w:rFonts w:asciiTheme="minorHAnsi" w:hAnsiTheme="minorHAnsi" w:cstheme="minorHAnsi"/>
          <w:sz w:val="22"/>
          <w:szCs w:val="22"/>
        </w:rPr>
        <w:t xml:space="preserve">, with a 5-year return between 7-9%. She noted PEP </w:t>
      </w:r>
      <w:r w:rsidR="00C678E5" w:rsidRPr="002D4B71">
        <w:rPr>
          <w:rFonts w:asciiTheme="minorHAnsi" w:hAnsiTheme="minorHAnsi" w:cstheme="minorHAnsi"/>
          <w:sz w:val="22"/>
          <w:szCs w:val="22"/>
        </w:rPr>
        <w:t>is a go</w:t>
      </w:r>
      <w:r w:rsidR="002D4B71" w:rsidRPr="002D4B71">
        <w:rPr>
          <w:rFonts w:asciiTheme="minorHAnsi" w:hAnsiTheme="minorHAnsi" w:cstheme="minorHAnsi"/>
          <w:sz w:val="22"/>
          <w:szCs w:val="22"/>
        </w:rPr>
        <w:t>od long-term stock for investors.</w:t>
      </w:r>
      <w:r w:rsidR="00E24003" w:rsidRPr="002D4B71">
        <w:rPr>
          <w:rFonts w:asciiTheme="minorHAnsi" w:hAnsiTheme="minorHAnsi" w:cstheme="minorHAnsi"/>
          <w:sz w:val="22"/>
          <w:szCs w:val="22"/>
        </w:rPr>
        <w:t xml:space="preserve"> </w:t>
      </w:r>
      <w:r w:rsidR="002D4B71" w:rsidRPr="002D4B71">
        <w:rPr>
          <w:rFonts w:asciiTheme="minorHAnsi" w:hAnsiTheme="minorHAnsi" w:cstheme="minorHAnsi"/>
          <w:sz w:val="22"/>
          <w:szCs w:val="22"/>
        </w:rPr>
        <w:t>Her research and presentation materials are filed in Bivio</w:t>
      </w:r>
      <w:r w:rsidR="00E24003" w:rsidRPr="002D4B71">
        <w:rPr>
          <w:rFonts w:asciiTheme="minorHAnsi" w:hAnsiTheme="minorHAnsi" w:cstheme="minorHAnsi"/>
          <w:sz w:val="22"/>
          <w:szCs w:val="22"/>
        </w:rPr>
        <w:t xml:space="preserve">. </w:t>
      </w:r>
      <w:r w:rsidR="00E24003" w:rsidRPr="002D4B71">
        <w:rPr>
          <w:rFonts w:asciiTheme="minorHAnsi" w:hAnsiTheme="minorHAnsi" w:cstheme="minorHAnsi"/>
          <w:b/>
          <w:i/>
          <w:sz w:val="22"/>
          <w:szCs w:val="22"/>
        </w:rPr>
        <w:t>The Club voted</w:t>
      </w:r>
      <w:r w:rsidR="002D4B71" w:rsidRPr="002D4B71">
        <w:rPr>
          <w:rFonts w:asciiTheme="minorHAnsi" w:hAnsiTheme="minorHAnsi" w:cstheme="minorHAnsi"/>
          <w:b/>
          <w:i/>
          <w:sz w:val="22"/>
          <w:szCs w:val="22"/>
        </w:rPr>
        <w:t xml:space="preserve"> not</w:t>
      </w:r>
      <w:r w:rsidR="00E24003" w:rsidRPr="002D4B71">
        <w:rPr>
          <w:rFonts w:asciiTheme="minorHAnsi" w:hAnsiTheme="minorHAnsi" w:cstheme="minorHAnsi"/>
          <w:b/>
          <w:i/>
          <w:sz w:val="22"/>
          <w:szCs w:val="22"/>
        </w:rPr>
        <w:t xml:space="preserve"> to put </w:t>
      </w:r>
      <w:r w:rsidR="002D4B71" w:rsidRPr="002D4B71">
        <w:rPr>
          <w:rFonts w:asciiTheme="minorHAnsi" w:hAnsiTheme="minorHAnsi" w:cstheme="minorHAnsi"/>
          <w:b/>
          <w:i/>
          <w:sz w:val="22"/>
          <w:szCs w:val="22"/>
        </w:rPr>
        <w:t>PEP</w:t>
      </w:r>
      <w:r w:rsidR="00E24003" w:rsidRPr="002D4B71">
        <w:rPr>
          <w:rFonts w:asciiTheme="minorHAnsi" w:hAnsiTheme="minorHAnsi" w:cstheme="minorHAnsi"/>
          <w:b/>
          <w:i/>
          <w:sz w:val="22"/>
          <w:szCs w:val="22"/>
        </w:rPr>
        <w:t xml:space="preserve"> on its Watch List.</w:t>
      </w:r>
    </w:p>
    <w:p w14:paraId="327164A7" w14:textId="1F8B3CA6" w:rsidR="009C4F27" w:rsidRPr="002B7C30" w:rsidRDefault="004E35FC" w:rsidP="00E2400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Review of </w:t>
      </w:r>
      <w:r w:rsidR="002B7C30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Portfolio and </w:t>
      </w: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Watchlist </w:t>
      </w:r>
      <w:r w:rsidR="00693366" w:rsidRPr="002B7C30">
        <w:rPr>
          <w:rFonts w:asciiTheme="minorHAnsi" w:hAnsiTheme="minorHAnsi" w:cstheme="minorHAnsi"/>
          <w:b/>
          <w:color w:val="000000"/>
          <w:sz w:val="22"/>
          <w:szCs w:val="22"/>
        </w:rPr>
        <w:t>by Ty Hughes</w:t>
      </w:r>
      <w:r w:rsidR="00CD0065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Wilbert Nixon</w:t>
      </w:r>
      <w:r w:rsidR="00693366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35C14F42" w14:textId="54B3DDA7" w:rsidR="002030F3" w:rsidRPr="002B7C30" w:rsidRDefault="004E35FC" w:rsidP="00801338">
      <w:pPr>
        <w:numPr>
          <w:ilvl w:val="1"/>
          <w:numId w:val="27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 xml:space="preserve">Ty 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and Wilbert looked at the performance of </w:t>
      </w:r>
      <w:proofErr w:type="spellStart"/>
      <w:r w:rsidR="00CD0065" w:rsidRPr="002B7C30">
        <w:rPr>
          <w:rFonts w:asciiTheme="minorHAnsi" w:hAnsiTheme="minorHAnsi" w:cstheme="minorHAnsi"/>
          <w:sz w:val="22"/>
          <w:szCs w:val="22"/>
        </w:rPr>
        <w:t>MicNova’s</w:t>
      </w:r>
      <w:proofErr w:type="spellEnd"/>
      <w:r w:rsidR="00CD0065" w:rsidRPr="002B7C30">
        <w:rPr>
          <w:rFonts w:asciiTheme="minorHAnsi" w:hAnsiTheme="minorHAnsi" w:cstheme="minorHAnsi"/>
          <w:sz w:val="22"/>
          <w:szCs w:val="22"/>
        </w:rPr>
        <w:t xml:space="preserve"> </w:t>
      </w:r>
      <w:r w:rsidR="002B7C30">
        <w:rPr>
          <w:rFonts w:asciiTheme="minorHAnsi" w:hAnsiTheme="minorHAnsi" w:cstheme="minorHAnsi"/>
          <w:sz w:val="22"/>
          <w:szCs w:val="22"/>
        </w:rPr>
        <w:t>P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ortfolio and its updated Watchlist.  Looking at </w:t>
      </w:r>
      <w:r w:rsidR="00CA1282" w:rsidRPr="002B7C30">
        <w:rPr>
          <w:rFonts w:asciiTheme="minorHAnsi" w:hAnsiTheme="minorHAnsi" w:cstheme="minorHAnsi"/>
          <w:sz w:val="22"/>
          <w:szCs w:val="22"/>
        </w:rPr>
        <w:t>daily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 chart</w:t>
      </w:r>
      <w:r w:rsidR="00CA1282" w:rsidRPr="002B7C30">
        <w:rPr>
          <w:rFonts w:asciiTheme="minorHAnsi" w:hAnsiTheme="minorHAnsi" w:cstheme="minorHAnsi"/>
          <w:sz w:val="22"/>
          <w:szCs w:val="22"/>
        </w:rPr>
        <w:t>s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 comparing our </w:t>
      </w:r>
      <w:r w:rsidR="002B7C30">
        <w:rPr>
          <w:rFonts w:asciiTheme="minorHAnsi" w:hAnsiTheme="minorHAnsi" w:cstheme="minorHAnsi"/>
          <w:sz w:val="22"/>
          <w:szCs w:val="22"/>
        </w:rPr>
        <w:t>P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ortfolio </w:t>
      </w:r>
      <w:r w:rsidR="00CA1282" w:rsidRPr="002B7C30">
        <w:rPr>
          <w:rFonts w:asciiTheme="minorHAnsi" w:hAnsiTheme="minorHAnsi" w:cstheme="minorHAnsi"/>
          <w:sz w:val="22"/>
          <w:szCs w:val="22"/>
        </w:rPr>
        <w:t xml:space="preserve">stock </w:t>
      </w:r>
      <w:r w:rsidR="00CD0065" w:rsidRPr="002B7C30">
        <w:rPr>
          <w:rFonts w:asciiTheme="minorHAnsi" w:hAnsiTheme="minorHAnsi" w:cstheme="minorHAnsi"/>
          <w:sz w:val="22"/>
          <w:szCs w:val="22"/>
        </w:rPr>
        <w:t>performance</w:t>
      </w:r>
      <w:r w:rsidR="00CA1282" w:rsidRPr="002B7C30">
        <w:rPr>
          <w:rFonts w:asciiTheme="minorHAnsi" w:hAnsiTheme="minorHAnsi" w:cstheme="minorHAnsi"/>
          <w:sz w:val="22"/>
          <w:szCs w:val="22"/>
        </w:rPr>
        <w:t xml:space="preserve">s 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to the S&amp;P 500, they noted our best performing stocks were in technology and </w:t>
      </w:r>
      <w:r w:rsidR="00CA1282" w:rsidRPr="002B7C30">
        <w:rPr>
          <w:rFonts w:asciiTheme="minorHAnsi" w:hAnsiTheme="minorHAnsi" w:cstheme="minorHAnsi"/>
          <w:sz w:val="22"/>
          <w:szCs w:val="22"/>
        </w:rPr>
        <w:t xml:space="preserve">among </w:t>
      </w:r>
      <w:r w:rsidR="00CD0065" w:rsidRPr="002B7C30">
        <w:rPr>
          <w:rFonts w:asciiTheme="minorHAnsi" w:hAnsiTheme="minorHAnsi" w:cstheme="minorHAnsi"/>
          <w:sz w:val="22"/>
          <w:szCs w:val="22"/>
        </w:rPr>
        <w:t>the worst were Gentex and BRK.B</w:t>
      </w:r>
      <w:r w:rsidR="00CA1282" w:rsidRPr="002B7C30">
        <w:rPr>
          <w:rFonts w:asciiTheme="minorHAnsi" w:hAnsiTheme="minorHAnsi" w:cstheme="minorHAnsi"/>
          <w:sz w:val="22"/>
          <w:szCs w:val="22"/>
        </w:rPr>
        <w:t>.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 </w:t>
      </w:r>
      <w:r w:rsidR="00693366" w:rsidRPr="002B7C30">
        <w:rPr>
          <w:rFonts w:asciiTheme="minorHAnsi" w:hAnsiTheme="minorHAnsi" w:cstheme="minorHAnsi"/>
          <w:sz w:val="22"/>
          <w:szCs w:val="22"/>
        </w:rPr>
        <w:t xml:space="preserve"> </w:t>
      </w:r>
      <w:r w:rsidR="00CD0065" w:rsidRPr="002B7C30">
        <w:rPr>
          <w:rFonts w:asciiTheme="minorHAnsi" w:hAnsiTheme="minorHAnsi" w:cstheme="minorHAnsi"/>
          <w:sz w:val="22"/>
          <w:szCs w:val="22"/>
        </w:rPr>
        <w:t xml:space="preserve">Turning to </w:t>
      </w:r>
      <w:proofErr w:type="gramStart"/>
      <w:r w:rsidR="00CD0065" w:rsidRPr="002B7C30">
        <w:rPr>
          <w:rFonts w:asciiTheme="minorHAnsi" w:hAnsiTheme="minorHAnsi" w:cstheme="minorHAnsi"/>
          <w:sz w:val="22"/>
          <w:szCs w:val="22"/>
        </w:rPr>
        <w:t xml:space="preserve">the </w:t>
      </w:r>
      <w:r w:rsidR="00693366" w:rsidRPr="002B7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3366" w:rsidRPr="002B7C30">
        <w:rPr>
          <w:rFonts w:asciiTheme="minorHAnsi" w:hAnsiTheme="minorHAnsi" w:cstheme="minorHAnsi"/>
          <w:sz w:val="22"/>
          <w:szCs w:val="22"/>
        </w:rPr>
        <w:t>MicNova</w:t>
      </w:r>
      <w:proofErr w:type="spellEnd"/>
      <w:proofErr w:type="gramEnd"/>
      <w:r w:rsidR="00693366" w:rsidRPr="002B7C30">
        <w:rPr>
          <w:rFonts w:asciiTheme="minorHAnsi" w:hAnsiTheme="minorHAnsi" w:cstheme="minorHAnsi"/>
          <w:sz w:val="22"/>
          <w:szCs w:val="22"/>
        </w:rPr>
        <w:t xml:space="preserve"> Watchlist, </w:t>
      </w:r>
      <w:r w:rsidR="00CA1282" w:rsidRPr="002B7C30">
        <w:rPr>
          <w:rFonts w:asciiTheme="minorHAnsi" w:hAnsiTheme="minorHAnsi" w:cstheme="minorHAnsi"/>
          <w:sz w:val="22"/>
          <w:szCs w:val="22"/>
        </w:rPr>
        <w:t>they again looked for stocks that best</w:t>
      </w:r>
      <w:r w:rsidR="00693366" w:rsidRPr="002B7C30">
        <w:rPr>
          <w:rFonts w:asciiTheme="minorHAnsi" w:hAnsiTheme="minorHAnsi" w:cstheme="minorHAnsi"/>
          <w:sz w:val="22"/>
          <w:szCs w:val="22"/>
        </w:rPr>
        <w:t xml:space="preserve"> meet</w:t>
      </w:r>
      <w:r w:rsidR="00607F75" w:rsidRPr="002B7C30">
        <w:rPr>
          <w:rFonts w:asciiTheme="minorHAnsi" w:hAnsiTheme="minorHAnsi" w:cstheme="minorHAnsi"/>
          <w:sz w:val="22"/>
          <w:szCs w:val="22"/>
        </w:rPr>
        <w:t xml:space="preserve"> our criteria for </w:t>
      </w:r>
      <w:r w:rsidR="00693366" w:rsidRPr="002B7C30">
        <w:rPr>
          <w:rFonts w:asciiTheme="minorHAnsi" w:hAnsiTheme="minorHAnsi" w:cstheme="minorHAnsi"/>
          <w:sz w:val="22"/>
          <w:szCs w:val="22"/>
        </w:rPr>
        <w:t xml:space="preserve"> growth, quality,</w:t>
      </w:r>
      <w:r w:rsidR="00407693" w:rsidRPr="002B7C30">
        <w:rPr>
          <w:rFonts w:asciiTheme="minorHAnsi" w:hAnsiTheme="minorHAnsi" w:cstheme="minorHAnsi"/>
          <w:sz w:val="22"/>
          <w:szCs w:val="22"/>
        </w:rPr>
        <w:t xml:space="preserve"> </w:t>
      </w:r>
      <w:r w:rsidR="00607F75" w:rsidRPr="002B7C30">
        <w:rPr>
          <w:rFonts w:asciiTheme="minorHAnsi" w:hAnsiTheme="minorHAnsi" w:cstheme="minorHAnsi"/>
          <w:sz w:val="22"/>
          <w:szCs w:val="22"/>
        </w:rPr>
        <w:t>and buy zone</w:t>
      </w:r>
      <w:r w:rsidR="00CA1282" w:rsidRPr="002B7C30">
        <w:rPr>
          <w:rFonts w:asciiTheme="minorHAnsi" w:hAnsiTheme="minorHAnsi" w:cstheme="minorHAnsi"/>
          <w:sz w:val="22"/>
          <w:szCs w:val="22"/>
        </w:rPr>
        <w:t xml:space="preserve">. They identified, similar to last month, </w:t>
      </w:r>
      <w:r w:rsidR="00693366" w:rsidRPr="002B7C30">
        <w:rPr>
          <w:rFonts w:asciiTheme="minorHAnsi" w:hAnsiTheme="minorHAnsi" w:cstheme="minorHAnsi"/>
          <w:b/>
          <w:sz w:val="22"/>
          <w:szCs w:val="22"/>
        </w:rPr>
        <w:t>LGI Homes</w:t>
      </w:r>
      <w:r w:rsidR="00693366" w:rsidRPr="002B7C30">
        <w:rPr>
          <w:rFonts w:asciiTheme="minorHAnsi" w:hAnsiTheme="minorHAnsi" w:cstheme="minorHAnsi"/>
          <w:sz w:val="22"/>
          <w:szCs w:val="22"/>
        </w:rPr>
        <w:t xml:space="preserve"> and </w:t>
      </w:r>
      <w:r w:rsidR="00407693" w:rsidRPr="002B7C30">
        <w:rPr>
          <w:rFonts w:asciiTheme="minorHAnsi" w:hAnsiTheme="minorHAnsi" w:cstheme="minorHAnsi"/>
          <w:b/>
          <w:sz w:val="22"/>
          <w:szCs w:val="22"/>
        </w:rPr>
        <w:t>Essent Group, LTD</w:t>
      </w:r>
      <w:r w:rsidR="00407693" w:rsidRPr="002B7C30">
        <w:rPr>
          <w:rFonts w:asciiTheme="minorHAnsi" w:hAnsiTheme="minorHAnsi" w:cstheme="minorHAnsi"/>
          <w:sz w:val="22"/>
          <w:szCs w:val="22"/>
        </w:rPr>
        <w:t xml:space="preserve">, a mortgage provider. </w:t>
      </w:r>
    </w:p>
    <w:p w14:paraId="54CCA525" w14:textId="5240870B" w:rsidR="00E372E9" w:rsidRPr="002B7C30" w:rsidRDefault="00580227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A1282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Jo </w:t>
      </w:r>
      <w:r w:rsidR="002B7C30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Murphy </w:t>
      </w:r>
      <w:r w:rsidR="00CA1282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moved, and Pat </w:t>
      </w:r>
      <w:proofErr w:type="spellStart"/>
      <w:r w:rsidR="00CA1282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>Onufrack</w:t>
      </w:r>
      <w:proofErr w:type="spellEnd"/>
      <w:r w:rsidR="00CA1282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seconded, a motion</w:t>
      </w:r>
      <w:r w:rsidR="005D3340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A1282" w:rsidRPr="002B7C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 buy ~ $3500 each of LGIH and ESNT at market price. </w:t>
      </w:r>
      <w:r w:rsidR="00CA1282" w:rsidRPr="002B7C30">
        <w:rPr>
          <w:rFonts w:asciiTheme="minorHAnsi" w:hAnsiTheme="minorHAnsi" w:cstheme="minorHAnsi"/>
          <w:bCs/>
          <w:color w:val="000000"/>
          <w:sz w:val="22"/>
          <w:szCs w:val="22"/>
        </w:rPr>
        <w:t>A majority of members approved these buys.</w:t>
      </w:r>
    </w:p>
    <w:p w14:paraId="29DA0753" w14:textId="7E9DE1D9" w:rsidR="0011215A" w:rsidRPr="002B7C30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2B7C30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2B7C30">
        <w:rPr>
          <w:rFonts w:asciiTheme="minorHAnsi" w:hAnsiTheme="minorHAnsi" w:cstheme="minorHAnsi"/>
          <w:b/>
          <w:sz w:val="22"/>
          <w:szCs w:val="22"/>
        </w:rPr>
        <w:tab/>
      </w:r>
    </w:p>
    <w:p w14:paraId="134B2A69" w14:textId="2712025D" w:rsidR="002B7C30" w:rsidRPr="002B7C30" w:rsidRDefault="002B7C30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 Members are to email Baskar their suggestions for Education Topics for this Year.</w:t>
      </w:r>
    </w:p>
    <w:p w14:paraId="2C57C170" w14:textId="26C814A2" w:rsidR="0011215A" w:rsidRPr="002B7C30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B7C30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Planning </w:t>
      </w:r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2B7C3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BC589D" w:rsidRPr="002B7C3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hursday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7C30" w:rsidRPr="002B7C3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October 15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="00C2529B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2020</w:t>
      </w:r>
      <w:r w:rsidR="00C2529B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8:00 – 9:00 PM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A4A7B3" w14:textId="54E0F543" w:rsidR="0011215A" w:rsidRPr="002B7C30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AD0"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2B7C3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89D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C589D" w:rsidRPr="002B7C3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BC589D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2B7C30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Tuesda</w:t>
      </w:r>
      <w:r w:rsidR="00C2529B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 </w:t>
      </w:r>
      <w:r w:rsidR="002B7C30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October 20</w:t>
      </w:r>
      <w:r w:rsidR="00C2529B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, 2020</w:t>
      </w:r>
      <w:r w:rsidR="00C2529B" w:rsidRPr="002B7C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7:00 - 9:00 PM</w:t>
      </w:r>
    </w:p>
    <w:p w14:paraId="6AD70FA3" w14:textId="240B33D5" w:rsidR="0011215A" w:rsidRPr="00C03106" w:rsidRDefault="0011215A" w:rsidP="00A67B54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C031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C03106"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Oct</w:t>
      </w:r>
      <w:r w:rsidR="002A32F9"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="003D0F20"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C3D5D"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03106" w:rsidRPr="00C0310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None</w:t>
      </w:r>
    </w:p>
    <w:p w14:paraId="600278C0" w14:textId="4BE254C1" w:rsidR="002B7C30" w:rsidRPr="00C03106" w:rsidRDefault="002B7C30" w:rsidP="00A67B54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C031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New Stock Presentation – </w:t>
      </w:r>
      <w:r w:rsidRPr="00C03106">
        <w:rPr>
          <w:rFonts w:asciiTheme="minorHAnsi" w:hAnsiTheme="minorHAnsi" w:cstheme="minorHAnsi"/>
          <w:color w:val="000000" w:themeColor="text1"/>
          <w:sz w:val="22"/>
          <w:szCs w:val="22"/>
        </w:rPr>
        <w:t>Arvind Krishna</w:t>
      </w:r>
    </w:p>
    <w:p w14:paraId="18B80D21" w14:textId="77777777" w:rsidR="00251D92" w:rsidRPr="00015910" w:rsidRDefault="00251D92" w:rsidP="00251D92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81B0C6" w14:textId="0A35EFE3" w:rsidR="00D06EEB" w:rsidRPr="002B7C30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Stock Presentations </w:t>
      </w:r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and Conducting </w:t>
      </w:r>
      <w:proofErr w:type="spellStart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>MicNova</w:t>
      </w:r>
      <w:proofErr w:type="spellEnd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 Meetings*</w:t>
      </w:r>
    </w:p>
    <w:p w14:paraId="636765F5" w14:textId="77777777" w:rsidR="00D06EEB" w:rsidRPr="002B7C30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2670"/>
        <w:gridCol w:w="2100"/>
        <w:gridCol w:w="2340"/>
        <w:gridCol w:w="2306"/>
      </w:tblGrid>
      <w:tr w:rsidR="003371B2" w:rsidRPr="002B7C30" w14:paraId="29DC37E5" w14:textId="77777777" w:rsidTr="003371B2">
        <w:trPr>
          <w:trHeight w:val="525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2B7C30" w:rsidRDefault="003371B2">
            <w:pPr>
              <w:ind w:firstLineChars="400" w:firstLine="800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Planning GTM date</w:t>
            </w:r>
          </w:p>
        </w:tc>
      </w:tr>
      <w:tr w:rsidR="003371B2" w:rsidRPr="002B7C30" w14:paraId="406CAB5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Patterson,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2B7C30" w:rsidRDefault="00D97155" w:rsidP="00D97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5FBC6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2B7C30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E6AD1C6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Kent</w:t>
            </w:r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2B7C30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2B7C30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12/1</w:t>
            </w:r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2B7C30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9C435A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2B7C30" w:rsidRDefault="00047EEF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3FB924B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Krishnarao,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Maskev</w:t>
            </w:r>
            <w:proofErr w:type="spellEnd"/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4CBEC973" w:rsidR="003371B2" w:rsidRPr="002B7C30" w:rsidRDefault="00C4251C" w:rsidP="00C425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10/19/2021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818D82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2B7C30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3371B2" w:rsidRPr="002B7C30" w14:paraId="5D8FBF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19D8578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Henrikson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2A543744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3/16/2021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2B7C30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27F8BA5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3952CF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2B7C30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9/</w:t>
            </w:r>
            <w:r w:rsidR="009608CC" w:rsidRPr="002B7C3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60B797C9" w:rsidR="003371B2" w:rsidRPr="002B7C30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11/1</w:t>
            </w:r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2B7C30" w:rsidRDefault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53223D3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55CB7B02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11FDB87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E78C0B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33950" w14:textId="6AF46B7E" w:rsidR="00D97155" w:rsidRPr="002B7C30" w:rsidRDefault="00D971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A5E59" w14:textId="277C3906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A968C5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42729B8F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4AA85B82" w:rsidR="003371B2" w:rsidRPr="002B7C30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6/15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F4D37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09BB" w14:textId="4BCE8031" w:rsidR="003371B2" w:rsidRPr="002B7C30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3210" w14:textId="77777777" w:rsidR="00770855" w:rsidRPr="002B7C30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1544" w14:textId="31A46B75" w:rsidR="003371B2" w:rsidRPr="002B7C30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</w:t>
            </w:r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01FD3740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Onufrak</w:t>
            </w:r>
            <w:proofErr w:type="spellEnd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2B7C30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7/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A6D0254" w14:textId="297B047C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FF2A0E" w14:textId="2DA2B6C1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3/11/21</w:t>
            </w:r>
          </w:p>
        </w:tc>
      </w:tr>
      <w:tr w:rsidR="003371B2" w:rsidRPr="002B7C30" w14:paraId="4FB6366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2B7C30" w:rsidRDefault="003371B2" w:rsidP="00E35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646BEC" w14:textId="0BC52145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16F3" w14:textId="77C839E9" w:rsidR="003371B2" w:rsidRPr="002B7C30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9608CC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5/2020</w:t>
            </w:r>
          </w:p>
        </w:tc>
      </w:tr>
      <w:tr w:rsidR="003371B2" w:rsidRPr="002B7C30" w14:paraId="47787BBF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Timmes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2B7C30" w:rsidRDefault="003227E5" w:rsidP="003227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BDCAA" w14:textId="5E85C352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D0BBF" w14:textId="3462DF3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</w:tbl>
    <w:p w14:paraId="4B34692C" w14:textId="77777777" w:rsidR="00D45149" w:rsidRPr="002B7C30" w:rsidRDefault="00D45149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3A53E3" w14:textId="77777777" w:rsidR="001F4FEB" w:rsidRPr="00015910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1FD163A8" w14:textId="77777777" w:rsidR="008B72F0" w:rsidRDefault="008B72F0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054D0BA7" w14:textId="77777777" w:rsidR="008B72F0" w:rsidRDefault="008B72F0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5197EB42" w14:textId="77777777" w:rsidR="008B72F0" w:rsidRDefault="008B72F0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61F83BF0" w14:textId="77777777" w:rsidR="008B72F0" w:rsidRDefault="008B72F0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60802988" w14:textId="5A471FE7" w:rsidR="00643B44" w:rsidRPr="008B72F0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B72F0">
        <w:rPr>
          <w:rFonts w:asciiTheme="minorHAnsi" w:hAnsiTheme="minorHAnsi" w:cstheme="minorHAnsi"/>
          <w:b/>
          <w:bCs/>
          <w:sz w:val="28"/>
          <w:szCs w:val="28"/>
        </w:rPr>
        <w:lastRenderedPageBreak/>
        <w:t>MicNOVA</w:t>
      </w:r>
      <w:proofErr w:type="spellEnd"/>
      <w:r w:rsidRPr="008B72F0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as of </w:t>
      </w:r>
      <w:r w:rsidR="00427D36" w:rsidRPr="008B72F0">
        <w:rPr>
          <w:rFonts w:asciiTheme="minorHAnsi" w:hAnsiTheme="minorHAnsi" w:cstheme="minorHAnsi"/>
          <w:b/>
          <w:bCs/>
          <w:sz w:val="28"/>
          <w:szCs w:val="28"/>
        </w:rPr>
        <w:t>as of 0</w:t>
      </w:r>
      <w:r w:rsidR="003532EE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427D36" w:rsidRPr="008B72F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17240C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427D36" w:rsidRPr="008B72F0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63D7A89E" w14:textId="77777777" w:rsidR="00643B44" w:rsidRPr="008B72F0" w:rsidRDefault="00643B44" w:rsidP="002A4BBA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044"/>
        <w:gridCol w:w="815"/>
        <w:gridCol w:w="1108"/>
        <w:gridCol w:w="1164"/>
        <w:gridCol w:w="875"/>
        <w:gridCol w:w="713"/>
        <w:gridCol w:w="908"/>
        <w:gridCol w:w="806"/>
        <w:gridCol w:w="1480"/>
      </w:tblGrid>
      <w:tr w:rsidR="00FE0FB1" w:rsidRPr="008B72F0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8B72F0" w:rsidRDefault="007D48EB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5FDC0B" w14:textId="5B5E1CE4" w:rsidR="00643B44" w:rsidRPr="008B72F0" w:rsidRDefault="00643B44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8B72F0" w:rsidRDefault="00643B44" w:rsidP="001A3D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7D48EB"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67D1EB3" w14:textId="5BB66FAB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8B72F0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490F8A06" w14:textId="53D02766" w:rsidR="00643B44" w:rsidRPr="008B72F0" w:rsidRDefault="008B72F0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Sep </w:t>
            </w:r>
            <w:r w:rsidR="0017240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="001C4207"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20</w:t>
            </w:r>
            <w:r w:rsidR="003B50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200C95A0" w14:textId="77777777" w:rsidR="00643B44" w:rsidRPr="008B72F0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742EEF94" w14:textId="7B12EC9F" w:rsidR="00643B44" w:rsidRPr="008B72F0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E059215" w14:textId="080C7B5D" w:rsidR="00643B44" w:rsidRPr="008B72F0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8B72F0" w:rsidRDefault="007D48EB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6C22246" w14:textId="77777777" w:rsidR="00643B44" w:rsidRPr="008B72F0" w:rsidRDefault="00643B44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8B72F0" w:rsidRDefault="001129C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</w:t>
            </w:r>
            <w:r w:rsidR="00643B44"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atcher</w:t>
            </w:r>
          </w:p>
          <w:p w14:paraId="30A98776" w14:textId="27781FFA" w:rsidR="00643B44" w:rsidRPr="008B72F0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72F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17240C" w:rsidRPr="008B72F0" w14:paraId="76866377" w14:textId="77777777" w:rsidTr="001839FA">
        <w:trPr>
          <w:jc w:val="center"/>
        </w:trPr>
        <w:tc>
          <w:tcPr>
            <w:tcW w:w="0" w:type="auto"/>
            <w:vAlign w:val="center"/>
          </w:tcPr>
          <w:p w14:paraId="67A43671" w14:textId="7E1AE8F7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ABBV</w:t>
            </w:r>
          </w:p>
        </w:tc>
        <w:tc>
          <w:tcPr>
            <w:tcW w:w="0" w:type="auto"/>
            <w:vAlign w:val="center"/>
          </w:tcPr>
          <w:p w14:paraId="21C976DA" w14:textId="5BFC4119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Amy</w:t>
            </w:r>
          </w:p>
        </w:tc>
        <w:tc>
          <w:tcPr>
            <w:tcW w:w="815" w:type="dxa"/>
            <w:vAlign w:val="center"/>
          </w:tcPr>
          <w:p w14:paraId="48E14EF4" w14:textId="344345F8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98.05</w:t>
            </w:r>
          </w:p>
        </w:tc>
        <w:tc>
          <w:tcPr>
            <w:tcW w:w="1108" w:type="dxa"/>
            <w:vAlign w:val="center"/>
          </w:tcPr>
          <w:p w14:paraId="069EC49B" w14:textId="11FC9161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07/09/20</w:t>
            </w:r>
          </w:p>
        </w:tc>
        <w:tc>
          <w:tcPr>
            <w:tcW w:w="0" w:type="auto"/>
            <w:vAlign w:val="center"/>
          </w:tcPr>
          <w:p w14:paraId="13E9193F" w14:textId="0542055D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86.89</w:t>
            </w:r>
          </w:p>
        </w:tc>
        <w:tc>
          <w:tcPr>
            <w:tcW w:w="0" w:type="auto"/>
            <w:vAlign w:val="center"/>
          </w:tcPr>
          <w:p w14:paraId="707A3C6F" w14:textId="0B0145F5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0" w:type="auto"/>
            <w:vAlign w:val="center"/>
          </w:tcPr>
          <w:p w14:paraId="1C6D5128" w14:textId="33768D84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28CF357D" w14:textId="2D9998E3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30</w:t>
            </w: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OCT</w:t>
            </w: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3043BA9A" w14:textId="3C5C3802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5A76A5" w14:textId="0AF3F4DF" w:rsidR="0017240C" w:rsidRPr="008B72F0" w:rsidRDefault="0017240C" w:rsidP="0017240C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17240C" w:rsidRPr="008B72F0" w14:paraId="77B6BF80" w14:textId="77777777" w:rsidTr="001839FA">
        <w:trPr>
          <w:jc w:val="center"/>
        </w:trPr>
        <w:tc>
          <w:tcPr>
            <w:tcW w:w="0" w:type="auto"/>
            <w:vAlign w:val="center"/>
          </w:tcPr>
          <w:p w14:paraId="3A7C4E9D" w14:textId="77777777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61.92</w:t>
            </w:r>
          </w:p>
        </w:tc>
        <w:tc>
          <w:tcPr>
            <w:tcW w:w="1108" w:type="dxa"/>
            <w:vAlign w:val="center"/>
          </w:tcPr>
          <w:p w14:paraId="6C620D34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7EAE6057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34.79</w:t>
            </w:r>
          </w:p>
        </w:tc>
        <w:tc>
          <w:tcPr>
            <w:tcW w:w="0" w:type="auto"/>
            <w:vAlign w:val="center"/>
          </w:tcPr>
          <w:p w14:paraId="33B7C81C" w14:textId="606E72FA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0" w:type="auto"/>
            <w:vAlign w:val="center"/>
          </w:tcPr>
          <w:p w14:paraId="2C84AACC" w14:textId="6CA402BE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488BE12A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SEP</w:t>
            </w: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245439AE" w14:textId="10CFED6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4E358EDE" w14:textId="77777777" w:rsidR="0017240C" w:rsidRPr="008B72F0" w:rsidRDefault="0017240C" w:rsidP="0017240C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iCs/>
                <w:sz w:val="16"/>
                <w:szCs w:val="16"/>
              </w:rPr>
              <w:t>May, Aug, Dec, Feb</w:t>
            </w:r>
          </w:p>
        </w:tc>
      </w:tr>
      <w:tr w:rsidR="0017240C" w:rsidRPr="008B72F0" w14:paraId="3EE40AEA" w14:textId="77777777" w:rsidTr="001839FA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1FC5D6A4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797.08</w:t>
            </w:r>
          </w:p>
        </w:tc>
        <w:tc>
          <w:tcPr>
            <w:tcW w:w="1108" w:type="dxa"/>
            <w:vAlign w:val="center"/>
          </w:tcPr>
          <w:p w14:paraId="5E079440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23DA864B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1,469.33</w:t>
            </w:r>
          </w:p>
        </w:tc>
        <w:tc>
          <w:tcPr>
            <w:tcW w:w="0" w:type="auto"/>
            <w:vAlign w:val="center"/>
          </w:tcPr>
          <w:p w14:paraId="21CC8728" w14:textId="4328F753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0" w:type="auto"/>
            <w:vAlign w:val="center"/>
          </w:tcPr>
          <w:p w14:paraId="3E69C3AD" w14:textId="7D3479AA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5C846CB6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26-Oct-20</w:t>
            </w:r>
          </w:p>
        </w:tc>
        <w:tc>
          <w:tcPr>
            <w:tcW w:w="0" w:type="auto"/>
            <w:vAlign w:val="center"/>
          </w:tcPr>
          <w:p w14:paraId="4C5D3DB6" w14:textId="11B0FBB8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30155ED6" w14:textId="77777777" w:rsidR="0017240C" w:rsidRPr="008B72F0" w:rsidRDefault="0017240C" w:rsidP="001724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17240C" w:rsidRPr="008B72F0" w14:paraId="49BCFA63" w14:textId="77777777" w:rsidTr="001839FA">
        <w:trPr>
          <w:jc w:val="center"/>
        </w:trPr>
        <w:tc>
          <w:tcPr>
            <w:tcW w:w="0" w:type="auto"/>
            <w:vAlign w:val="center"/>
          </w:tcPr>
          <w:p w14:paraId="48918B98" w14:textId="77777777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6A993C0A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Kathy</w:t>
            </w:r>
          </w:p>
        </w:tc>
        <w:tc>
          <w:tcPr>
            <w:tcW w:w="815" w:type="dxa"/>
            <w:vAlign w:val="center"/>
          </w:tcPr>
          <w:p w14:paraId="62CEBC80" w14:textId="1DE14E9C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48.71</w:t>
            </w:r>
          </w:p>
        </w:tc>
        <w:tc>
          <w:tcPr>
            <w:tcW w:w="1108" w:type="dxa"/>
            <w:vAlign w:val="center"/>
          </w:tcPr>
          <w:p w14:paraId="30226546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7A5FF550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114.09</w:t>
            </w:r>
          </w:p>
        </w:tc>
        <w:tc>
          <w:tcPr>
            <w:tcW w:w="0" w:type="auto"/>
            <w:vAlign w:val="center"/>
          </w:tcPr>
          <w:p w14:paraId="731F7B78" w14:textId="77E8487E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0" w:type="auto"/>
            <w:vAlign w:val="center"/>
          </w:tcPr>
          <w:p w14:paraId="19D0A721" w14:textId="0030EA8D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14:paraId="74A84C44" w14:textId="778E92A4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10-Oct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782BE24" w14:textId="35FAC112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6DC56B94" w14:textId="77777777" w:rsidR="0017240C" w:rsidRPr="008B72F0" w:rsidRDefault="0017240C" w:rsidP="001724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Feb, May, Nov, Feb</w:t>
            </w:r>
          </w:p>
        </w:tc>
      </w:tr>
      <w:tr w:rsidR="0017240C" w:rsidRPr="008B72F0" w14:paraId="2C2AD835" w14:textId="77777777" w:rsidTr="001839FA">
        <w:trPr>
          <w:jc w:val="center"/>
        </w:trPr>
        <w:tc>
          <w:tcPr>
            <w:tcW w:w="0" w:type="auto"/>
            <w:vAlign w:val="center"/>
          </w:tcPr>
          <w:p w14:paraId="73F19601" w14:textId="77777777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18DD11ED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Gladys</w:t>
            </w:r>
          </w:p>
        </w:tc>
        <w:tc>
          <w:tcPr>
            <w:tcW w:w="815" w:type="dxa"/>
            <w:vAlign w:val="center"/>
          </w:tcPr>
          <w:p w14:paraId="3064A726" w14:textId="6114D5B1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125.33</w:t>
            </w:r>
          </w:p>
        </w:tc>
        <w:tc>
          <w:tcPr>
            <w:tcW w:w="1108" w:type="dxa"/>
            <w:vAlign w:val="center"/>
          </w:tcPr>
          <w:p w14:paraId="206D2D48" w14:textId="7777777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5F815901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0" w:type="auto"/>
            <w:vAlign w:val="center"/>
          </w:tcPr>
          <w:p w14:paraId="12A59118" w14:textId="0AA759BA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0" w:type="auto"/>
            <w:vAlign w:val="center"/>
          </w:tcPr>
          <w:p w14:paraId="74BC0B79" w14:textId="533ED7C8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001942CE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2-Nov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5D00C9A" w14:textId="2187524B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9805ADE" w14:textId="77777777" w:rsidR="0017240C" w:rsidRPr="008B72F0" w:rsidRDefault="0017240C" w:rsidP="001724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17240C" w:rsidRPr="008B72F0" w14:paraId="4189DB81" w14:textId="77777777" w:rsidTr="00C078D5">
        <w:trPr>
          <w:jc w:val="center"/>
        </w:trPr>
        <w:tc>
          <w:tcPr>
            <w:tcW w:w="0" w:type="auto"/>
          </w:tcPr>
          <w:p w14:paraId="04F4E00D" w14:textId="5E15C9B8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BSTC</w:t>
            </w:r>
          </w:p>
        </w:tc>
        <w:tc>
          <w:tcPr>
            <w:tcW w:w="0" w:type="auto"/>
          </w:tcPr>
          <w:p w14:paraId="4144078C" w14:textId="69C051BB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Sheryl</w:t>
            </w:r>
          </w:p>
        </w:tc>
        <w:tc>
          <w:tcPr>
            <w:tcW w:w="815" w:type="dxa"/>
          </w:tcPr>
          <w:p w14:paraId="69E261DE" w14:textId="64B9F79A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50.10</w:t>
            </w:r>
          </w:p>
        </w:tc>
        <w:tc>
          <w:tcPr>
            <w:tcW w:w="1108" w:type="dxa"/>
          </w:tcPr>
          <w:p w14:paraId="2CD183F3" w14:textId="6D95CDD7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3E9BA2DE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52.61</w:t>
            </w:r>
          </w:p>
        </w:tc>
        <w:tc>
          <w:tcPr>
            <w:tcW w:w="0" w:type="auto"/>
            <w:vAlign w:val="center"/>
          </w:tcPr>
          <w:p w14:paraId="668B07F9" w14:textId="5141B450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0" w:type="auto"/>
            <w:vAlign w:val="center"/>
          </w:tcPr>
          <w:p w14:paraId="7EBDDA9B" w14:textId="7E33FB15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547875E0" w14:textId="3CD4B2AA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06</w:t>
            </w: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Nov</w:t>
            </w: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2C4EFF19" w14:textId="6C439A59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9D2B0F" w14:textId="66FF9F5A" w:rsidR="0017240C" w:rsidRPr="008B72F0" w:rsidRDefault="0017240C" w:rsidP="0017240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17240C" w:rsidRPr="008B72F0" w14:paraId="4272D488" w14:textId="77777777" w:rsidTr="001839FA">
        <w:trPr>
          <w:jc w:val="center"/>
        </w:trPr>
        <w:tc>
          <w:tcPr>
            <w:tcW w:w="0" w:type="auto"/>
            <w:vAlign w:val="center"/>
          </w:tcPr>
          <w:p w14:paraId="0C5947A9" w14:textId="350FB1B1" w:rsidR="0017240C" w:rsidRPr="008B72F0" w:rsidRDefault="0017240C" w:rsidP="0017240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B0545A2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vAlign w:val="center"/>
          </w:tcPr>
          <w:p w14:paraId="3140CB5E" w14:textId="2BB91DFB" w:rsidR="0017240C" w:rsidRPr="008B72F0" w:rsidRDefault="0017240C" w:rsidP="0017240C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3CA2BBB0" w:rsidR="0017240C" w:rsidRPr="0017240C" w:rsidRDefault="0017240C" w:rsidP="0017240C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856.85</w:t>
            </w:r>
          </w:p>
        </w:tc>
        <w:tc>
          <w:tcPr>
            <w:tcW w:w="0" w:type="auto"/>
            <w:vAlign w:val="center"/>
          </w:tcPr>
          <w:p w14:paraId="35236EF6" w14:textId="3F030F9D" w:rsidR="0017240C" w:rsidRPr="0017240C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0" w:type="auto"/>
            <w:vAlign w:val="center"/>
          </w:tcPr>
          <w:p w14:paraId="2B649EAC" w14:textId="10DE0A2F" w:rsidR="0017240C" w:rsidRPr="00B24A6E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3EFCDD13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-Oct-20</w:t>
            </w:r>
          </w:p>
        </w:tc>
        <w:tc>
          <w:tcPr>
            <w:tcW w:w="0" w:type="auto"/>
            <w:vAlign w:val="center"/>
          </w:tcPr>
          <w:p w14:paraId="6DEF6DB2" w14:textId="796D775A" w:rsidR="0017240C" w:rsidRPr="008B72F0" w:rsidRDefault="0017240C" w:rsidP="001724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15503E4D" w14:textId="7BE97A8F" w:rsidR="0017240C" w:rsidRPr="008B72F0" w:rsidRDefault="0017240C" w:rsidP="0017240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5F67F0" w:rsidRPr="005B1DBD" w14:paraId="216C37F8" w14:textId="77777777" w:rsidTr="001839FA">
        <w:trPr>
          <w:jc w:val="center"/>
        </w:trPr>
        <w:tc>
          <w:tcPr>
            <w:tcW w:w="0" w:type="auto"/>
            <w:vAlign w:val="center"/>
          </w:tcPr>
          <w:p w14:paraId="2F6E41B2" w14:textId="49969344" w:rsidR="005F67F0" w:rsidRPr="005F67F0" w:rsidRDefault="005F67F0" w:rsidP="005F67F0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ESSNT</w:t>
            </w:r>
          </w:p>
        </w:tc>
        <w:tc>
          <w:tcPr>
            <w:tcW w:w="0" w:type="auto"/>
            <w:vAlign w:val="center"/>
          </w:tcPr>
          <w:p w14:paraId="33DB230E" w14:textId="723E5459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TBD</w:t>
            </w:r>
          </w:p>
        </w:tc>
        <w:tc>
          <w:tcPr>
            <w:tcW w:w="815" w:type="dxa"/>
            <w:vAlign w:val="center"/>
          </w:tcPr>
          <w:p w14:paraId="78DC9E4F" w14:textId="1F5605BD" w:rsidR="005F67F0" w:rsidRPr="005F67F0" w:rsidRDefault="005F67F0" w:rsidP="005F67F0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38.35</w:t>
            </w:r>
          </w:p>
        </w:tc>
        <w:tc>
          <w:tcPr>
            <w:tcW w:w="1108" w:type="dxa"/>
            <w:vAlign w:val="center"/>
          </w:tcPr>
          <w:p w14:paraId="42B22ED1" w14:textId="6820B22C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0" w:type="auto"/>
            <w:vAlign w:val="center"/>
          </w:tcPr>
          <w:p w14:paraId="48BAD3FA" w14:textId="4A073344" w:rsidR="005F67F0" w:rsidRPr="005F67F0" w:rsidRDefault="005F67F0" w:rsidP="005F67F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36.44</w:t>
            </w:r>
          </w:p>
        </w:tc>
        <w:tc>
          <w:tcPr>
            <w:tcW w:w="0" w:type="auto"/>
            <w:vAlign w:val="center"/>
          </w:tcPr>
          <w:p w14:paraId="426305AC" w14:textId="737AD60B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3.7%</w:t>
            </w:r>
          </w:p>
        </w:tc>
        <w:tc>
          <w:tcPr>
            <w:tcW w:w="0" w:type="auto"/>
            <w:vAlign w:val="center"/>
          </w:tcPr>
          <w:p w14:paraId="6BDD67E1" w14:textId="1D97959E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  <w:t>92</w:t>
            </w:r>
          </w:p>
        </w:tc>
        <w:tc>
          <w:tcPr>
            <w:tcW w:w="0" w:type="auto"/>
            <w:vAlign w:val="center"/>
          </w:tcPr>
          <w:p w14:paraId="27E71F1F" w14:textId="03E41D09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10-Nov-20</w:t>
            </w:r>
          </w:p>
        </w:tc>
        <w:tc>
          <w:tcPr>
            <w:tcW w:w="0" w:type="auto"/>
            <w:vAlign w:val="center"/>
          </w:tcPr>
          <w:p w14:paraId="68A1AFD1" w14:textId="3C51DFAF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vAlign w:val="center"/>
          </w:tcPr>
          <w:p w14:paraId="1DE2D0AD" w14:textId="06FD5449" w:rsidR="005F67F0" w:rsidRPr="005B1DBD" w:rsidRDefault="005F67F0" w:rsidP="005F67F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F67F0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5F67F0" w:rsidRPr="008B72F0" w14:paraId="7A053A38" w14:textId="77777777" w:rsidTr="001839FA">
        <w:trPr>
          <w:jc w:val="center"/>
        </w:trPr>
        <w:tc>
          <w:tcPr>
            <w:tcW w:w="0" w:type="auto"/>
            <w:vAlign w:val="center"/>
          </w:tcPr>
          <w:p w14:paraId="06CA9184" w14:textId="77777777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78E06060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14.80</w:t>
            </w:r>
          </w:p>
        </w:tc>
        <w:tc>
          <w:tcPr>
            <w:tcW w:w="1108" w:type="dxa"/>
            <w:vAlign w:val="center"/>
          </w:tcPr>
          <w:p w14:paraId="1B6A70F6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5C8964D0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25.62</w:t>
            </w:r>
          </w:p>
        </w:tc>
        <w:tc>
          <w:tcPr>
            <w:tcW w:w="0" w:type="auto"/>
            <w:vAlign w:val="center"/>
          </w:tcPr>
          <w:p w14:paraId="04E9F7F6" w14:textId="21CB46A8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0" w:type="auto"/>
            <w:vAlign w:val="center"/>
          </w:tcPr>
          <w:p w14:paraId="1EDA4806" w14:textId="7F70C774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5674C2C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Oct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0F59790C" w14:textId="6CCF1FC4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857C7A" w14:textId="77777777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5F67F0" w:rsidRPr="005B1DBD" w14:paraId="06A555AC" w14:textId="77777777" w:rsidTr="00060CBD">
        <w:trPr>
          <w:jc w:val="center"/>
        </w:trPr>
        <w:tc>
          <w:tcPr>
            <w:tcW w:w="0" w:type="auto"/>
            <w:vAlign w:val="center"/>
          </w:tcPr>
          <w:p w14:paraId="0BF96D1C" w14:textId="57713FF4" w:rsidR="005F67F0" w:rsidRPr="005F67F0" w:rsidRDefault="005F67F0" w:rsidP="005F67F0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LGIH</w:t>
            </w:r>
          </w:p>
        </w:tc>
        <w:tc>
          <w:tcPr>
            <w:tcW w:w="0" w:type="auto"/>
            <w:vAlign w:val="center"/>
          </w:tcPr>
          <w:p w14:paraId="7ADB7248" w14:textId="6DD3FD08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TBD</w:t>
            </w:r>
          </w:p>
        </w:tc>
        <w:tc>
          <w:tcPr>
            <w:tcW w:w="815" w:type="dxa"/>
            <w:vAlign w:val="center"/>
          </w:tcPr>
          <w:p w14:paraId="4FBC2D51" w14:textId="2A99CF55" w:rsidR="005F67F0" w:rsidRPr="005F67F0" w:rsidRDefault="005F67F0" w:rsidP="005F67F0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112.65</w:t>
            </w:r>
          </w:p>
        </w:tc>
        <w:tc>
          <w:tcPr>
            <w:tcW w:w="1108" w:type="dxa"/>
            <w:vAlign w:val="center"/>
          </w:tcPr>
          <w:p w14:paraId="01234B54" w14:textId="6FB6BB5E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0" w:type="auto"/>
            <w:vAlign w:val="center"/>
          </w:tcPr>
          <w:p w14:paraId="420D9342" w14:textId="1DED5BE0" w:rsidR="005F67F0" w:rsidRPr="005F67F0" w:rsidRDefault="005F67F0" w:rsidP="005F67F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113.79</w:t>
            </w:r>
          </w:p>
        </w:tc>
        <w:tc>
          <w:tcPr>
            <w:tcW w:w="0" w:type="auto"/>
            <w:vAlign w:val="center"/>
          </w:tcPr>
          <w:p w14:paraId="1DD7183B" w14:textId="0E6254BB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3.9%</w:t>
            </w:r>
          </w:p>
        </w:tc>
        <w:tc>
          <w:tcPr>
            <w:tcW w:w="0" w:type="auto"/>
            <w:vAlign w:val="center"/>
          </w:tcPr>
          <w:p w14:paraId="5FC958C9" w14:textId="2DB2DFA9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0" w:type="auto"/>
            <w:vAlign w:val="center"/>
          </w:tcPr>
          <w:p w14:paraId="4A60108E" w14:textId="2956D56B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09-nov-20</w:t>
            </w:r>
          </w:p>
        </w:tc>
        <w:tc>
          <w:tcPr>
            <w:tcW w:w="0" w:type="auto"/>
            <w:vAlign w:val="center"/>
          </w:tcPr>
          <w:p w14:paraId="6267E2E3" w14:textId="756A6266" w:rsidR="005F67F0" w:rsidRPr="005F67F0" w:rsidRDefault="005F67F0" w:rsidP="005F67F0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</w:pPr>
            <w:r w:rsidRPr="005F67F0"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vAlign w:val="center"/>
          </w:tcPr>
          <w:p w14:paraId="46780D5C" w14:textId="2F5108C7" w:rsidR="005F67F0" w:rsidRPr="005B1DBD" w:rsidRDefault="005F67F0" w:rsidP="005F67F0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F67F0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5F67F0" w:rsidRPr="008B72F0" w14:paraId="47965137" w14:textId="77777777" w:rsidTr="00060CBD">
        <w:trPr>
          <w:jc w:val="center"/>
        </w:trPr>
        <w:tc>
          <w:tcPr>
            <w:tcW w:w="0" w:type="auto"/>
            <w:vAlign w:val="center"/>
          </w:tcPr>
          <w:p w14:paraId="0F297532" w14:textId="77777777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vAlign w:val="center"/>
          </w:tcPr>
          <w:p w14:paraId="4481C43F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vAlign w:val="center"/>
          </w:tcPr>
          <w:p w14:paraId="415290DC" w14:textId="77777777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25.44</w:t>
            </w:r>
          </w:p>
        </w:tc>
        <w:tc>
          <w:tcPr>
            <w:tcW w:w="1108" w:type="dxa"/>
            <w:vAlign w:val="center"/>
          </w:tcPr>
          <w:p w14:paraId="178C17F3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0" w:type="auto"/>
            <w:vAlign w:val="center"/>
          </w:tcPr>
          <w:p w14:paraId="747F7873" w14:textId="7E1D7022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207.26</w:t>
            </w:r>
          </w:p>
        </w:tc>
        <w:tc>
          <w:tcPr>
            <w:tcW w:w="0" w:type="auto"/>
            <w:vAlign w:val="center"/>
          </w:tcPr>
          <w:p w14:paraId="593CD64D" w14:textId="12CC7FDF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0" w:type="auto"/>
            <w:vAlign w:val="center"/>
          </w:tcPr>
          <w:p w14:paraId="0DF63200" w14:textId="438B7644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8E8DE4D" w14:textId="6317BB6B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26-Oct-20</w:t>
            </w:r>
          </w:p>
        </w:tc>
        <w:tc>
          <w:tcPr>
            <w:tcW w:w="0" w:type="auto"/>
            <w:vAlign w:val="center"/>
          </w:tcPr>
          <w:p w14:paraId="58A50192" w14:textId="654E1B95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3A1076" w14:textId="77777777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5F67F0" w:rsidRPr="008B72F0" w14:paraId="76E62ACA" w14:textId="77777777" w:rsidTr="001839FA">
        <w:trPr>
          <w:jc w:val="center"/>
        </w:trPr>
        <w:tc>
          <w:tcPr>
            <w:tcW w:w="0" w:type="auto"/>
            <w:vAlign w:val="center"/>
          </w:tcPr>
          <w:p w14:paraId="39F7030D" w14:textId="770478D2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MNST</w:t>
            </w:r>
          </w:p>
        </w:tc>
        <w:tc>
          <w:tcPr>
            <w:tcW w:w="0" w:type="auto"/>
            <w:vAlign w:val="center"/>
          </w:tcPr>
          <w:p w14:paraId="543CD673" w14:textId="63BA388E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Kent</w:t>
            </w:r>
          </w:p>
        </w:tc>
        <w:tc>
          <w:tcPr>
            <w:tcW w:w="815" w:type="dxa"/>
            <w:vAlign w:val="center"/>
          </w:tcPr>
          <w:p w14:paraId="3CFBD39E" w14:textId="7390D6C9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59.80</w:t>
            </w:r>
          </w:p>
        </w:tc>
        <w:tc>
          <w:tcPr>
            <w:tcW w:w="1108" w:type="dxa"/>
            <w:vAlign w:val="center"/>
          </w:tcPr>
          <w:p w14:paraId="23F22613" w14:textId="4DBC6522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03/13/2020</w:t>
            </w:r>
          </w:p>
        </w:tc>
        <w:tc>
          <w:tcPr>
            <w:tcW w:w="0" w:type="auto"/>
            <w:vAlign w:val="center"/>
          </w:tcPr>
          <w:p w14:paraId="1BAB59EE" w14:textId="712E8009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79.79</w:t>
            </w:r>
          </w:p>
        </w:tc>
        <w:tc>
          <w:tcPr>
            <w:tcW w:w="0" w:type="auto"/>
            <w:vAlign w:val="center"/>
          </w:tcPr>
          <w:p w14:paraId="17A5CDB0" w14:textId="53928875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0" w:type="auto"/>
            <w:vAlign w:val="center"/>
          </w:tcPr>
          <w:p w14:paraId="4ED0A4B0" w14:textId="64412932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54AE647" w14:textId="158A99BD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57112AE" w14:textId="0B9888DC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E64B5E" w14:textId="694E44ED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F67F0" w:rsidRPr="008B72F0" w14:paraId="4C8508CF" w14:textId="77777777" w:rsidTr="001839FA">
        <w:trPr>
          <w:trHeight w:val="125"/>
          <w:jc w:val="center"/>
        </w:trPr>
        <w:tc>
          <w:tcPr>
            <w:tcW w:w="0" w:type="auto"/>
            <w:vAlign w:val="center"/>
          </w:tcPr>
          <w:p w14:paraId="4185043E" w14:textId="1EB18A4D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4BDC4F88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Paul</w:t>
            </w:r>
          </w:p>
        </w:tc>
        <w:tc>
          <w:tcPr>
            <w:tcW w:w="815" w:type="dxa"/>
            <w:vAlign w:val="center"/>
          </w:tcPr>
          <w:p w14:paraId="5C18C282" w14:textId="27C5A394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431AA24B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53.51</w:t>
            </w:r>
          </w:p>
        </w:tc>
        <w:tc>
          <w:tcPr>
            <w:tcW w:w="0" w:type="auto"/>
            <w:vAlign w:val="center"/>
          </w:tcPr>
          <w:p w14:paraId="574339CB" w14:textId="3C7A9FC3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0" w:type="auto"/>
            <w:vAlign w:val="center"/>
          </w:tcPr>
          <w:p w14:paraId="490D03A7" w14:textId="6275E3EF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7D72281A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05-Aug-20</w:t>
            </w:r>
          </w:p>
        </w:tc>
        <w:tc>
          <w:tcPr>
            <w:tcW w:w="0" w:type="auto"/>
            <w:vAlign w:val="center"/>
          </w:tcPr>
          <w:p w14:paraId="4938176B" w14:textId="4918DAF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E73911" w14:textId="722F402B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Apr, Jun, Sep, Dec</w:t>
            </w:r>
          </w:p>
        </w:tc>
      </w:tr>
      <w:tr w:rsidR="005F67F0" w:rsidRPr="008B72F0" w14:paraId="49395BF5" w14:textId="77777777" w:rsidTr="001839FA">
        <w:trPr>
          <w:jc w:val="center"/>
        </w:trPr>
        <w:tc>
          <w:tcPr>
            <w:tcW w:w="0" w:type="auto"/>
            <w:vAlign w:val="center"/>
          </w:tcPr>
          <w:p w14:paraId="38F557DF" w14:textId="77777777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421E4735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Arvind</w:t>
            </w:r>
          </w:p>
        </w:tc>
        <w:tc>
          <w:tcPr>
            <w:tcW w:w="815" w:type="dxa"/>
            <w:vAlign w:val="center"/>
          </w:tcPr>
          <w:p w14:paraId="1CED747D" w14:textId="724F6C51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70.69</w:t>
            </w:r>
          </w:p>
        </w:tc>
        <w:tc>
          <w:tcPr>
            <w:tcW w:w="1108" w:type="dxa"/>
            <w:vAlign w:val="center"/>
          </w:tcPr>
          <w:p w14:paraId="5C9AA76A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3C285CE6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127.49</w:t>
            </w:r>
          </w:p>
        </w:tc>
        <w:tc>
          <w:tcPr>
            <w:tcW w:w="0" w:type="auto"/>
            <w:vAlign w:val="center"/>
          </w:tcPr>
          <w:p w14:paraId="375DCE26" w14:textId="5B6C5567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auto"/>
            <w:vAlign w:val="center"/>
          </w:tcPr>
          <w:p w14:paraId="24BA4998" w14:textId="6DEAB23D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60BAFE91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Oct</w:t>
            </w: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13124186" w14:textId="47E4B5CE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687ABC" w14:textId="77777777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5F67F0" w:rsidRPr="00015910" w14:paraId="4D37EA38" w14:textId="77777777" w:rsidTr="001839FA">
        <w:trPr>
          <w:jc w:val="center"/>
        </w:trPr>
        <w:tc>
          <w:tcPr>
            <w:tcW w:w="0" w:type="auto"/>
            <w:vAlign w:val="center"/>
          </w:tcPr>
          <w:p w14:paraId="1310AFC8" w14:textId="77777777" w:rsidR="005F67F0" w:rsidRPr="008B72F0" w:rsidRDefault="005F67F0" w:rsidP="005F67F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25D314C4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Jo/ Jonathan</w:t>
            </w:r>
          </w:p>
        </w:tc>
        <w:tc>
          <w:tcPr>
            <w:tcW w:w="815" w:type="dxa"/>
            <w:vAlign w:val="center"/>
          </w:tcPr>
          <w:p w14:paraId="2A864018" w14:textId="213AE728" w:rsidR="005F67F0" w:rsidRPr="008B72F0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63.51</w:t>
            </w:r>
          </w:p>
        </w:tc>
        <w:tc>
          <w:tcPr>
            <w:tcW w:w="1108" w:type="dxa"/>
            <w:vAlign w:val="center"/>
          </w:tcPr>
          <w:p w14:paraId="7B5595A2" w14:textId="77777777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2DB7D450" w:rsidR="005F67F0" w:rsidRPr="0017240C" w:rsidRDefault="005F67F0" w:rsidP="005F67F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="Calibri" w:hAnsi="Calibri" w:cs="Calibri"/>
                <w:color w:val="000000"/>
                <w:sz w:val="16"/>
                <w:szCs w:val="16"/>
              </w:rPr>
              <w:t>199.44</w:t>
            </w:r>
          </w:p>
        </w:tc>
        <w:tc>
          <w:tcPr>
            <w:tcW w:w="0" w:type="auto"/>
            <w:vAlign w:val="center"/>
          </w:tcPr>
          <w:p w14:paraId="31E920BA" w14:textId="5450BFAA" w:rsidR="005F67F0" w:rsidRPr="0017240C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240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0" w:type="auto"/>
            <w:vAlign w:val="center"/>
          </w:tcPr>
          <w:p w14:paraId="57995E6E" w14:textId="1C0DF8E2" w:rsidR="005F67F0" w:rsidRPr="00B24A6E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A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332EE341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26-Oct-20</w:t>
            </w:r>
          </w:p>
        </w:tc>
        <w:tc>
          <w:tcPr>
            <w:tcW w:w="0" w:type="auto"/>
            <w:vAlign w:val="center"/>
          </w:tcPr>
          <w:p w14:paraId="7302FBFD" w14:textId="3E2F4C14" w:rsidR="005F67F0" w:rsidRPr="008B72F0" w:rsidRDefault="005F67F0" w:rsidP="005F67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8A003C" w14:textId="77777777" w:rsidR="005F67F0" w:rsidRPr="008B72F0" w:rsidRDefault="005F67F0" w:rsidP="005F67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72F0">
              <w:rPr>
                <w:rFonts w:asciiTheme="minorHAnsi" w:hAnsiTheme="minorHAnsi" w:cstheme="minorHAnsi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015910" w:rsidRDefault="007D48EB" w:rsidP="00C25F07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5925EAF" w14:textId="173336AC" w:rsidR="003743E9" w:rsidRPr="002B7C30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2B7C30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2B7C30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2B7C30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2B7C30">
        <w:rPr>
          <w:rFonts w:asciiTheme="minorHAnsi" w:hAnsiTheme="minorHAnsi" w:cstheme="minorHAnsi"/>
          <w:sz w:val="22"/>
          <w:szCs w:val="22"/>
        </w:rPr>
        <w:t>earnings date</w:t>
      </w:r>
      <w:r w:rsidRPr="002B7C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0EEEDB73" w:rsidR="003A737D" w:rsidRPr="002B7C30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Nasdaq.com and Yahoo.com/finance list the earnings dates. E.G., s</w:t>
      </w:r>
      <w:r w:rsidR="004E0E70" w:rsidRPr="002B7C30">
        <w:rPr>
          <w:rFonts w:asciiTheme="minorHAnsi" w:hAnsiTheme="minorHAnsi" w:cstheme="minorHAnsi"/>
          <w:sz w:val="22"/>
          <w:szCs w:val="22"/>
        </w:rPr>
        <w:t xml:space="preserve">ee: </w:t>
      </w:r>
      <w:hyperlink r:id="rId9" w:history="1">
        <w:r w:rsidR="004E0E70" w:rsidRPr="002B7C30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2B7C30">
        <w:rPr>
          <w:rFonts w:asciiTheme="minorHAnsi" w:hAnsiTheme="minorHAnsi" w:cstheme="minorHAnsi"/>
          <w:sz w:val="22"/>
          <w:szCs w:val="22"/>
        </w:rPr>
        <w:t>.</w:t>
      </w:r>
      <w:r w:rsidR="007A6B7F" w:rsidRPr="002B7C3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0" w:history="1">
        <w:r w:rsidR="007A6B7F" w:rsidRPr="002B7C30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2B7C30">
        <w:rPr>
          <w:rStyle w:val="Hyperlink"/>
          <w:rFonts w:asciiTheme="minorHAnsi" w:hAnsiTheme="minorHAnsi" w:cstheme="minorHAnsi"/>
        </w:rPr>
        <w:t xml:space="preserve">. Or </w:t>
      </w:r>
      <w:r w:rsidR="00C2435A" w:rsidRPr="002B7C30">
        <w:t xml:space="preserve"> </w:t>
      </w:r>
      <w:hyperlink r:id="rId11" w:history="1">
        <w:r w:rsidR="00C2435A" w:rsidRPr="002B7C30">
          <w:rPr>
            <w:rStyle w:val="Hyperlink"/>
          </w:rPr>
          <w:t>https://www.marketbeat.com/stocks</w:t>
        </w:r>
      </w:hyperlink>
    </w:p>
    <w:p w14:paraId="28D2D4F9" w14:textId="77777777" w:rsidR="00F46CBC" w:rsidRPr="002B7C30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78F179A8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2B7C30">
        <w:rPr>
          <w:rFonts w:asciiTheme="minorHAnsi" w:hAnsiTheme="minorHAnsi" w:cstheme="minorHAnsi"/>
          <w:sz w:val="22"/>
          <w:szCs w:val="22"/>
        </w:rPr>
        <w:t>/</w:t>
      </w:r>
      <w:r w:rsidR="002B7C30">
        <w:rPr>
          <w:rFonts w:asciiTheme="minorHAnsi" w:hAnsiTheme="minorHAnsi" w:cstheme="minorHAnsi"/>
          <w:sz w:val="22"/>
          <w:szCs w:val="22"/>
        </w:rPr>
        <w:t>Arvind/</w:t>
      </w:r>
      <w:r w:rsidR="00A8471D" w:rsidRPr="002B7C30">
        <w:rPr>
          <w:rFonts w:asciiTheme="minorHAnsi" w:hAnsiTheme="minorHAnsi" w:cstheme="minorHAnsi"/>
          <w:sz w:val="22"/>
          <w:szCs w:val="22"/>
        </w:rPr>
        <w:t>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2"/>
      <w:footerReference w:type="default" r:id="rId13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DB5A" w14:textId="77777777" w:rsidR="0039056D" w:rsidRDefault="0039056D">
      <w:r>
        <w:separator/>
      </w:r>
    </w:p>
  </w:endnote>
  <w:endnote w:type="continuationSeparator" w:id="0">
    <w:p w14:paraId="742922F1" w14:textId="77777777" w:rsidR="0039056D" w:rsidRDefault="0039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F99" w14:textId="3A300870" w:rsidR="0022126E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C03106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C03106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22126E" w:rsidRDefault="00221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A4F8" w14:textId="0AC5F697" w:rsidR="0022126E" w:rsidRPr="00E51476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C03106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C03106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22126E" w:rsidRDefault="0022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CABB" w14:textId="77777777" w:rsidR="0039056D" w:rsidRDefault="0039056D">
      <w:r>
        <w:separator/>
      </w:r>
    </w:p>
  </w:footnote>
  <w:footnote w:type="continuationSeparator" w:id="0">
    <w:p w14:paraId="615B4D94" w14:textId="77777777" w:rsidR="0039056D" w:rsidRDefault="0039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C72FB"/>
    <w:multiLevelType w:val="hybridMultilevel"/>
    <w:tmpl w:val="11F8D550"/>
    <w:numStyleLink w:val="ImportedStyle1"/>
  </w:abstractNum>
  <w:abstractNum w:abstractNumId="14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17A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28"/>
  </w:num>
  <w:num w:numId="14">
    <w:abstractNumId w:val="20"/>
  </w:num>
  <w:num w:numId="15">
    <w:abstractNumId w:val="40"/>
  </w:num>
  <w:num w:numId="16">
    <w:abstractNumId w:val="15"/>
  </w:num>
  <w:num w:numId="17">
    <w:abstractNumId w:val="43"/>
  </w:num>
  <w:num w:numId="18">
    <w:abstractNumId w:val="11"/>
  </w:num>
  <w:num w:numId="19">
    <w:abstractNumId w:val="27"/>
  </w:num>
  <w:num w:numId="20">
    <w:abstractNumId w:val="31"/>
  </w:num>
  <w:num w:numId="21">
    <w:abstractNumId w:val="16"/>
  </w:num>
  <w:num w:numId="22">
    <w:abstractNumId w:val="36"/>
  </w:num>
  <w:num w:numId="23">
    <w:abstractNumId w:val="26"/>
  </w:num>
  <w:num w:numId="24">
    <w:abstractNumId w:val="46"/>
  </w:num>
  <w:num w:numId="25">
    <w:abstractNumId w:val="24"/>
  </w:num>
  <w:num w:numId="26">
    <w:abstractNumId w:val="34"/>
  </w:num>
  <w:num w:numId="27">
    <w:abstractNumId w:val="41"/>
  </w:num>
  <w:num w:numId="28">
    <w:abstractNumId w:val="23"/>
  </w:num>
  <w:num w:numId="29">
    <w:abstractNumId w:val="10"/>
  </w:num>
  <w:num w:numId="30">
    <w:abstractNumId w:val="37"/>
  </w:num>
  <w:num w:numId="31">
    <w:abstractNumId w:val="39"/>
  </w:num>
  <w:num w:numId="32">
    <w:abstractNumId w:val="18"/>
  </w:num>
  <w:num w:numId="33">
    <w:abstractNumId w:val="32"/>
  </w:num>
  <w:num w:numId="34">
    <w:abstractNumId w:val="21"/>
  </w:num>
  <w:num w:numId="3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17"/>
  </w:num>
  <w:num w:numId="39">
    <w:abstractNumId w:val="30"/>
  </w:num>
  <w:num w:numId="40">
    <w:abstractNumId w:val="29"/>
  </w:num>
  <w:num w:numId="41">
    <w:abstractNumId w:val="12"/>
  </w:num>
  <w:num w:numId="42">
    <w:abstractNumId w:val="14"/>
  </w:num>
  <w:num w:numId="43">
    <w:abstractNumId w:val="44"/>
  </w:num>
  <w:num w:numId="44">
    <w:abstractNumId w:val="19"/>
  </w:num>
  <w:num w:numId="45">
    <w:abstractNumId w:val="42"/>
  </w:num>
  <w:num w:numId="46">
    <w:abstractNumId w:val="45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6C6A"/>
    <w:rsid w:val="000874FA"/>
    <w:rsid w:val="00090B92"/>
    <w:rsid w:val="00091526"/>
    <w:rsid w:val="000927D1"/>
    <w:rsid w:val="00092CD8"/>
    <w:rsid w:val="00094265"/>
    <w:rsid w:val="0009534C"/>
    <w:rsid w:val="000957A7"/>
    <w:rsid w:val="000975CB"/>
    <w:rsid w:val="000A12CE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56BD"/>
    <w:rsid w:val="000C6689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581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924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240C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48E9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D0F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30059"/>
    <w:rsid w:val="00330777"/>
    <w:rsid w:val="003309DF"/>
    <w:rsid w:val="00332E4C"/>
    <w:rsid w:val="003330BA"/>
    <w:rsid w:val="00333F97"/>
    <w:rsid w:val="00334D35"/>
    <w:rsid w:val="00335464"/>
    <w:rsid w:val="0033615E"/>
    <w:rsid w:val="00336D93"/>
    <w:rsid w:val="003371B2"/>
    <w:rsid w:val="003374CD"/>
    <w:rsid w:val="00337859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1ED0"/>
    <w:rsid w:val="003532EE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056D"/>
    <w:rsid w:val="0039109E"/>
    <w:rsid w:val="00391B35"/>
    <w:rsid w:val="00391DCE"/>
    <w:rsid w:val="003926D8"/>
    <w:rsid w:val="00392E03"/>
    <w:rsid w:val="00392E5E"/>
    <w:rsid w:val="00392F42"/>
    <w:rsid w:val="00394686"/>
    <w:rsid w:val="003959AD"/>
    <w:rsid w:val="00396A5B"/>
    <w:rsid w:val="00396F92"/>
    <w:rsid w:val="003978FD"/>
    <w:rsid w:val="00397B1A"/>
    <w:rsid w:val="00397F54"/>
    <w:rsid w:val="003A124D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7E"/>
    <w:rsid w:val="003B07CF"/>
    <w:rsid w:val="003B0E80"/>
    <w:rsid w:val="003B1DE9"/>
    <w:rsid w:val="003B3045"/>
    <w:rsid w:val="003B3BF7"/>
    <w:rsid w:val="003B3E3E"/>
    <w:rsid w:val="003B4A0F"/>
    <w:rsid w:val="003B4FF5"/>
    <w:rsid w:val="003B50DE"/>
    <w:rsid w:val="003B567D"/>
    <w:rsid w:val="003B6FDC"/>
    <w:rsid w:val="003B7123"/>
    <w:rsid w:val="003C0108"/>
    <w:rsid w:val="003C01ED"/>
    <w:rsid w:val="003C07C1"/>
    <w:rsid w:val="003C0817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5730"/>
    <w:rsid w:val="003C5C27"/>
    <w:rsid w:val="003C6272"/>
    <w:rsid w:val="003C6E2E"/>
    <w:rsid w:val="003C7554"/>
    <w:rsid w:val="003D0202"/>
    <w:rsid w:val="003D0230"/>
    <w:rsid w:val="003D0D62"/>
    <w:rsid w:val="003D0F20"/>
    <w:rsid w:val="003D128C"/>
    <w:rsid w:val="003D14DD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1617"/>
    <w:rsid w:val="004227C1"/>
    <w:rsid w:val="004230F0"/>
    <w:rsid w:val="00423128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D5D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69E7"/>
    <w:rsid w:val="004F6BA5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379"/>
    <w:rsid w:val="0051176A"/>
    <w:rsid w:val="005137F5"/>
    <w:rsid w:val="00513E50"/>
    <w:rsid w:val="00513F3A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21E9"/>
    <w:rsid w:val="00564177"/>
    <w:rsid w:val="00564425"/>
    <w:rsid w:val="00564DFA"/>
    <w:rsid w:val="00565349"/>
    <w:rsid w:val="00565DE3"/>
    <w:rsid w:val="00565FAE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909"/>
    <w:rsid w:val="005A73EE"/>
    <w:rsid w:val="005A73FE"/>
    <w:rsid w:val="005B0A6B"/>
    <w:rsid w:val="005B0DA7"/>
    <w:rsid w:val="005B13B4"/>
    <w:rsid w:val="005B1DBD"/>
    <w:rsid w:val="005B1E19"/>
    <w:rsid w:val="005B228F"/>
    <w:rsid w:val="005B3728"/>
    <w:rsid w:val="005B474B"/>
    <w:rsid w:val="005B4C70"/>
    <w:rsid w:val="005B5F9F"/>
    <w:rsid w:val="005B6342"/>
    <w:rsid w:val="005C0C02"/>
    <w:rsid w:val="005C0D45"/>
    <w:rsid w:val="005C2198"/>
    <w:rsid w:val="005C2944"/>
    <w:rsid w:val="005C299F"/>
    <w:rsid w:val="005C2F50"/>
    <w:rsid w:val="005C391D"/>
    <w:rsid w:val="005C3FF0"/>
    <w:rsid w:val="005C46CC"/>
    <w:rsid w:val="005C4E88"/>
    <w:rsid w:val="005C6043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2311"/>
    <w:rsid w:val="005E3548"/>
    <w:rsid w:val="005E41CF"/>
    <w:rsid w:val="005E5C17"/>
    <w:rsid w:val="005E5F70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7F0"/>
    <w:rsid w:val="005F6AFD"/>
    <w:rsid w:val="00601C0F"/>
    <w:rsid w:val="006021CB"/>
    <w:rsid w:val="0060282E"/>
    <w:rsid w:val="00602D9F"/>
    <w:rsid w:val="006031C5"/>
    <w:rsid w:val="006031DD"/>
    <w:rsid w:val="006033B3"/>
    <w:rsid w:val="00604F01"/>
    <w:rsid w:val="0060571A"/>
    <w:rsid w:val="00606289"/>
    <w:rsid w:val="0060690B"/>
    <w:rsid w:val="00607B29"/>
    <w:rsid w:val="00607F75"/>
    <w:rsid w:val="0061109E"/>
    <w:rsid w:val="00611276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113"/>
    <w:rsid w:val="00647254"/>
    <w:rsid w:val="00650612"/>
    <w:rsid w:val="00650EDE"/>
    <w:rsid w:val="00650FE2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AE0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18D"/>
    <w:rsid w:val="007A32EF"/>
    <w:rsid w:val="007A372E"/>
    <w:rsid w:val="007A4026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215F"/>
    <w:rsid w:val="007B2BB5"/>
    <w:rsid w:val="007B3B96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BFE"/>
    <w:rsid w:val="007F4E00"/>
    <w:rsid w:val="007F55A2"/>
    <w:rsid w:val="007F58EA"/>
    <w:rsid w:val="007F5EED"/>
    <w:rsid w:val="007F624B"/>
    <w:rsid w:val="007F7026"/>
    <w:rsid w:val="008007C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1424"/>
    <w:rsid w:val="008114EE"/>
    <w:rsid w:val="00812076"/>
    <w:rsid w:val="00812510"/>
    <w:rsid w:val="008131A1"/>
    <w:rsid w:val="00813BB6"/>
    <w:rsid w:val="008143A2"/>
    <w:rsid w:val="00815187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2D3"/>
    <w:rsid w:val="00852510"/>
    <w:rsid w:val="00854307"/>
    <w:rsid w:val="008543B9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92B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6BF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B72F0"/>
    <w:rsid w:val="008C0A5F"/>
    <w:rsid w:val="008C0C6B"/>
    <w:rsid w:val="008C30D6"/>
    <w:rsid w:val="008C3A16"/>
    <w:rsid w:val="008C42B5"/>
    <w:rsid w:val="008C4B7C"/>
    <w:rsid w:val="008C61ED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16ED"/>
    <w:rsid w:val="009036D6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8CC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3C6"/>
    <w:rsid w:val="00976E93"/>
    <w:rsid w:val="00976FC1"/>
    <w:rsid w:val="00977644"/>
    <w:rsid w:val="00980600"/>
    <w:rsid w:val="00980CE0"/>
    <w:rsid w:val="00981FFA"/>
    <w:rsid w:val="00982002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070"/>
    <w:rsid w:val="00A14A6E"/>
    <w:rsid w:val="00A14DD9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E5F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5ADF"/>
    <w:rsid w:val="00A95E3C"/>
    <w:rsid w:val="00A965B3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B34"/>
    <w:rsid w:val="00AE6CC7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4A6E"/>
    <w:rsid w:val="00B25E88"/>
    <w:rsid w:val="00B26220"/>
    <w:rsid w:val="00B27406"/>
    <w:rsid w:val="00B300BF"/>
    <w:rsid w:val="00B3022A"/>
    <w:rsid w:val="00B307ED"/>
    <w:rsid w:val="00B309D8"/>
    <w:rsid w:val="00B314FA"/>
    <w:rsid w:val="00B32173"/>
    <w:rsid w:val="00B34C57"/>
    <w:rsid w:val="00B35A8F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7402"/>
    <w:rsid w:val="00BF7E6C"/>
    <w:rsid w:val="00C005A6"/>
    <w:rsid w:val="00C00D13"/>
    <w:rsid w:val="00C01167"/>
    <w:rsid w:val="00C01BE2"/>
    <w:rsid w:val="00C02CFE"/>
    <w:rsid w:val="00C03106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251A"/>
    <w:rsid w:val="00C13900"/>
    <w:rsid w:val="00C14FFA"/>
    <w:rsid w:val="00C15E7F"/>
    <w:rsid w:val="00C161C2"/>
    <w:rsid w:val="00C1621A"/>
    <w:rsid w:val="00C16CBE"/>
    <w:rsid w:val="00C16D32"/>
    <w:rsid w:val="00C17976"/>
    <w:rsid w:val="00C17C27"/>
    <w:rsid w:val="00C2041E"/>
    <w:rsid w:val="00C2082B"/>
    <w:rsid w:val="00C21A54"/>
    <w:rsid w:val="00C220FF"/>
    <w:rsid w:val="00C22CC4"/>
    <w:rsid w:val="00C22E9E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51C"/>
    <w:rsid w:val="00C42B2F"/>
    <w:rsid w:val="00C4414B"/>
    <w:rsid w:val="00C443B7"/>
    <w:rsid w:val="00C4489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80537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23C0"/>
    <w:rsid w:val="00CD2EC1"/>
    <w:rsid w:val="00CD4083"/>
    <w:rsid w:val="00CD4E40"/>
    <w:rsid w:val="00CD6206"/>
    <w:rsid w:val="00CD663B"/>
    <w:rsid w:val="00CD683F"/>
    <w:rsid w:val="00CD6993"/>
    <w:rsid w:val="00CD7118"/>
    <w:rsid w:val="00CE2E4E"/>
    <w:rsid w:val="00CE2EA0"/>
    <w:rsid w:val="00CE38C3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862"/>
    <w:rsid w:val="00D17A33"/>
    <w:rsid w:val="00D17BD2"/>
    <w:rsid w:val="00D2023A"/>
    <w:rsid w:val="00D20932"/>
    <w:rsid w:val="00D2156B"/>
    <w:rsid w:val="00D22C69"/>
    <w:rsid w:val="00D24386"/>
    <w:rsid w:val="00D246E3"/>
    <w:rsid w:val="00D27DA2"/>
    <w:rsid w:val="00D27DDC"/>
    <w:rsid w:val="00D305F5"/>
    <w:rsid w:val="00D3115E"/>
    <w:rsid w:val="00D31EE7"/>
    <w:rsid w:val="00D32144"/>
    <w:rsid w:val="00D321D3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623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5193"/>
    <w:rsid w:val="00DA5463"/>
    <w:rsid w:val="00DA6064"/>
    <w:rsid w:val="00DA6DDE"/>
    <w:rsid w:val="00DA6E7F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14F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FF0"/>
    <w:rsid w:val="00DF24C2"/>
    <w:rsid w:val="00DF472B"/>
    <w:rsid w:val="00DF5576"/>
    <w:rsid w:val="00DF66EC"/>
    <w:rsid w:val="00DF6858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046"/>
    <w:rsid w:val="00E35153"/>
    <w:rsid w:val="00E3596C"/>
    <w:rsid w:val="00E35B68"/>
    <w:rsid w:val="00E3668B"/>
    <w:rsid w:val="00E372E9"/>
    <w:rsid w:val="00E37D36"/>
    <w:rsid w:val="00E37EEA"/>
    <w:rsid w:val="00E4092F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57A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2C4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72A3"/>
    <w:rsid w:val="00F97746"/>
    <w:rsid w:val="00F97E00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46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basics-of-the-ssg-and-beyond-2-sessions-tickets-11994780009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ketbeat.com/stoc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yahoo.com/calendar/e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daq.com/market-activity/ear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3D85-83D2-439E-9CAF-B68CB810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17</cp:revision>
  <cp:lastPrinted>2020-09-22T04:37:00Z</cp:lastPrinted>
  <dcterms:created xsi:type="dcterms:W3CDTF">2020-09-22T05:01:00Z</dcterms:created>
  <dcterms:modified xsi:type="dcterms:W3CDTF">2020-09-30T15:19:00Z</dcterms:modified>
</cp:coreProperties>
</file>