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42A1E" w14:textId="01A0ABD3" w:rsidR="007B7095" w:rsidRPr="007B7095" w:rsidRDefault="007B7095" w:rsidP="008966E0">
      <w:pPr>
        <w:pStyle w:val="bulletsli"/>
        <w:shd w:val="clear" w:color="auto" w:fill="FFFFFF"/>
        <w:spacing w:before="0" w:beforeAutospacing="0" w:after="225" w:afterAutospacing="0" w:line="390" w:lineRule="atLeast"/>
        <w:rPr>
          <w:rFonts w:ascii="Verdana" w:hAnsi="Verdana"/>
          <w:b/>
          <w:color w:val="000000"/>
          <w:sz w:val="24"/>
          <w:szCs w:val="24"/>
          <w:u w:val="single"/>
        </w:rPr>
      </w:pPr>
      <w:r w:rsidRPr="007B7095">
        <w:rPr>
          <w:rFonts w:ascii="Verdana" w:hAnsi="Verdana"/>
          <w:b/>
          <w:color w:val="000000"/>
          <w:sz w:val="24"/>
          <w:szCs w:val="24"/>
          <w:u w:val="single"/>
        </w:rPr>
        <w:t>CTSH Q4 &amp; Full Year 2017</w:t>
      </w:r>
    </w:p>
    <w:p w14:paraId="4A4E7F06" w14:textId="77777777" w:rsidR="008966E0" w:rsidRDefault="008966E0" w:rsidP="003732F8">
      <w:pPr>
        <w:pStyle w:val="bulletsli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Cognizant Technology (NASDAQ:</w:t>
      </w:r>
      <w:hyperlink r:id="rId7" w:history="1">
        <w:r>
          <w:rPr>
            <w:rStyle w:val="Hyperlink"/>
            <w:rFonts w:ascii="Verdana" w:hAnsi="Verdana"/>
            <w:color w:val="024999"/>
            <w:sz w:val="24"/>
            <w:szCs w:val="24"/>
            <w:u w:val="none"/>
          </w:rPr>
          <w:t>CTSH</w:t>
        </w:r>
      </w:hyperlink>
      <w:r>
        <w:rPr>
          <w:rFonts w:ascii="Verdana" w:hAnsi="Verdana"/>
          <w:color w:val="000000"/>
          <w:sz w:val="24"/>
          <w:szCs w:val="24"/>
        </w:rPr>
        <w:t>): Q4 EPS of $1.03 </w:t>
      </w:r>
      <w:r>
        <w:rPr>
          <w:rFonts w:ascii="Verdana" w:hAnsi="Verdana"/>
          <w:color w:val="008000"/>
          <w:sz w:val="24"/>
          <w:szCs w:val="24"/>
        </w:rPr>
        <w:t>beats by $0.06</w:t>
      </w:r>
      <w:r>
        <w:rPr>
          <w:rFonts w:ascii="Verdana" w:hAnsi="Verdana"/>
          <w:color w:val="000000"/>
          <w:sz w:val="24"/>
          <w:szCs w:val="24"/>
        </w:rPr>
        <w:t>.</w:t>
      </w:r>
    </w:p>
    <w:p w14:paraId="406BD322" w14:textId="77777777" w:rsidR="008966E0" w:rsidRDefault="008966E0" w:rsidP="003732F8">
      <w:pPr>
        <w:pStyle w:val="bulletsli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Revenue of $3.83B (+10.7% Y/Y) </w:t>
      </w:r>
      <w:r>
        <w:rPr>
          <w:rFonts w:ascii="Verdana" w:hAnsi="Verdana"/>
          <w:color w:val="008000"/>
          <w:sz w:val="24"/>
          <w:szCs w:val="24"/>
        </w:rPr>
        <w:t>beats by $10M</w:t>
      </w:r>
      <w:r>
        <w:rPr>
          <w:rFonts w:ascii="Verdana" w:hAnsi="Verdana"/>
          <w:color w:val="000000"/>
          <w:sz w:val="24"/>
          <w:szCs w:val="24"/>
        </w:rPr>
        <w:t>.</w:t>
      </w:r>
    </w:p>
    <w:p w14:paraId="038FA3E9" w14:textId="41A1D110" w:rsidR="00880C35" w:rsidRPr="007B7095" w:rsidRDefault="00880C35" w:rsidP="003732F8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outlineLvl w:val="0"/>
        <w:rPr>
          <w:rFonts w:ascii="Verdana" w:eastAsia="Times New Roman" w:hAnsi="Verdana" w:cs="Times New Roman"/>
          <w:color w:val="000000"/>
          <w:kern w:val="36"/>
        </w:rPr>
      </w:pPr>
      <w:r w:rsidRPr="007B7095">
        <w:rPr>
          <w:rFonts w:ascii="Verdana" w:eastAsia="Times New Roman" w:hAnsi="Verdana" w:cs="Times New Roman"/>
          <w:color w:val="000000"/>
          <w:kern w:val="36"/>
        </w:rPr>
        <w:t>Increases quarterly dividend 33% to $0.20 per share</w:t>
      </w:r>
      <w:r w:rsidR="00D86F5E" w:rsidRPr="007B7095">
        <w:rPr>
          <w:rFonts w:ascii="Verdana" w:eastAsia="Times New Roman" w:hAnsi="Verdana" w:cs="Times New Roman"/>
          <w:color w:val="000000"/>
          <w:kern w:val="36"/>
        </w:rPr>
        <w:t xml:space="preserve"> - </w:t>
      </w:r>
      <w:r w:rsidR="00D86F5E" w:rsidRPr="007B7095">
        <w:rPr>
          <w:rFonts w:ascii="Verdana" w:hAnsi="Verdana"/>
          <w:color w:val="008000"/>
        </w:rPr>
        <w:t>increase</w:t>
      </w:r>
      <w:r w:rsidR="00D86F5E" w:rsidRPr="007B7095">
        <w:rPr>
          <w:rFonts w:ascii="Verdana" w:hAnsi="Verdana"/>
          <w:color w:val="000000"/>
        </w:rPr>
        <w:t> from prior dividend of $0.15.</w:t>
      </w:r>
    </w:p>
    <w:p w14:paraId="4A2C60CD" w14:textId="77777777" w:rsidR="00D86F5E" w:rsidRDefault="00D86F5E" w:rsidP="003732F8">
      <w:pPr>
        <w:pStyle w:val="bulletsli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Forward yield 1.08%</w:t>
      </w:r>
    </w:p>
    <w:p w14:paraId="238A6A26" w14:textId="77777777" w:rsidR="00D86F5E" w:rsidRDefault="00D86F5E" w:rsidP="003732F8">
      <w:pPr>
        <w:pStyle w:val="bulletsli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Payable Feb. 28; for shareholders of record Feb. 22; ex-div Feb. 21.</w:t>
      </w:r>
    </w:p>
    <w:p w14:paraId="0B4944AA" w14:textId="77777777" w:rsidR="00D86F5E" w:rsidRDefault="00D86F5E"/>
    <w:p w14:paraId="0484081A" w14:textId="77777777" w:rsidR="006659A4" w:rsidRPr="006659A4" w:rsidRDefault="006659A4" w:rsidP="006659A4">
      <w:pPr>
        <w:shd w:val="clear" w:color="auto" w:fill="FFFFFF"/>
        <w:spacing w:after="225"/>
        <w:rPr>
          <w:rFonts w:ascii="Verdana" w:hAnsi="Verdana" w:cs="Times New Roman"/>
          <w:b/>
          <w:color w:val="000000"/>
          <w:u w:val="single"/>
        </w:rPr>
      </w:pPr>
      <w:r w:rsidRPr="006659A4">
        <w:rPr>
          <w:rFonts w:ascii="Verdana" w:hAnsi="Verdana" w:cs="Times New Roman"/>
          <w:b/>
          <w:color w:val="000000"/>
          <w:u w:val="single"/>
        </w:rPr>
        <w:t>Highlights - Full Year 2017</w:t>
      </w:r>
    </w:p>
    <w:p w14:paraId="2E09C7A8" w14:textId="77777777" w:rsidR="00886A48" w:rsidRPr="00886A48" w:rsidRDefault="006B7434" w:rsidP="006659A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Verdana" w:eastAsia="Times New Roman" w:hAnsi="Verdana" w:cs="Times New Roman"/>
          <w:color w:val="000000"/>
        </w:rPr>
      </w:pPr>
      <w:r w:rsidRPr="006B7434">
        <w:rPr>
          <w:rFonts w:ascii="Verdana" w:hAnsi="Verdana" w:cs="Times New Roman"/>
          <w:color w:val="000000"/>
        </w:rPr>
        <w:t>Revenue for 2017 increased to $14.81 billion, up 9.8</w:t>
      </w:r>
      <w:r w:rsidR="00886A48">
        <w:rPr>
          <w:rFonts w:ascii="Verdana" w:hAnsi="Verdana" w:cs="Times New Roman"/>
          <w:color w:val="000000"/>
        </w:rPr>
        <w:t>% from $13.49 billion for 2016.</w:t>
      </w:r>
    </w:p>
    <w:p w14:paraId="5B9E1522" w14:textId="77777777" w:rsidR="006639C1" w:rsidRDefault="006639C1" w:rsidP="006659A4">
      <w:pPr>
        <w:pStyle w:val="ListParagraph"/>
        <w:numPr>
          <w:ilvl w:val="0"/>
          <w:numId w:val="1"/>
        </w:numPr>
        <w:shd w:val="clear" w:color="auto" w:fill="FFFFFF"/>
        <w:spacing w:after="225"/>
        <w:ind w:left="0"/>
        <w:rPr>
          <w:rFonts w:ascii="Verdana" w:hAnsi="Verdana" w:cs="Times New Roman"/>
          <w:color w:val="000000"/>
        </w:rPr>
      </w:pPr>
      <w:r w:rsidRPr="006B7434">
        <w:rPr>
          <w:rFonts w:ascii="Verdana" w:hAnsi="Verdana" w:cs="Times New Roman"/>
          <w:color w:val="000000"/>
        </w:rPr>
        <w:t xml:space="preserve">GAAP net income for 2017 was $1.50 billion, or $2.53 per diluted share, compared to $1.55 billion, or $2.55 per diluted share, for 2016. </w:t>
      </w:r>
    </w:p>
    <w:p w14:paraId="61B4DC98" w14:textId="77777777" w:rsidR="006639C1" w:rsidRDefault="006659A4" w:rsidP="006659A4">
      <w:pPr>
        <w:pStyle w:val="ListParagraph"/>
        <w:numPr>
          <w:ilvl w:val="0"/>
          <w:numId w:val="1"/>
        </w:numPr>
        <w:shd w:val="clear" w:color="auto" w:fill="FFFFFF"/>
        <w:spacing w:after="225"/>
        <w:ind w:left="0"/>
        <w:rPr>
          <w:rFonts w:ascii="Verdana" w:hAnsi="Verdana" w:cs="Times New Roman"/>
          <w:color w:val="000000"/>
        </w:rPr>
      </w:pPr>
      <w:r w:rsidRPr="006639C1">
        <w:rPr>
          <w:rFonts w:ascii="Verdana" w:hAnsi="Verdana" w:cs="Times New Roman"/>
          <w:color w:val="000000"/>
        </w:rPr>
        <w:t xml:space="preserve">Non-GAAP diluted EPS was $3.77 in 2017, compared to $3.39 in 2016. </w:t>
      </w:r>
    </w:p>
    <w:p w14:paraId="5FEF417B" w14:textId="727F9945" w:rsidR="006659A4" w:rsidRPr="006639C1" w:rsidRDefault="006659A4" w:rsidP="006659A4">
      <w:pPr>
        <w:pStyle w:val="ListParagraph"/>
        <w:numPr>
          <w:ilvl w:val="0"/>
          <w:numId w:val="1"/>
        </w:numPr>
        <w:shd w:val="clear" w:color="auto" w:fill="FFFFFF"/>
        <w:spacing w:after="225"/>
        <w:ind w:left="0"/>
        <w:rPr>
          <w:rFonts w:ascii="Verdana" w:hAnsi="Verdana" w:cs="Times New Roman"/>
          <w:color w:val="000000"/>
        </w:rPr>
      </w:pPr>
      <w:r w:rsidRPr="006639C1">
        <w:rPr>
          <w:rFonts w:ascii="Verdana" w:hAnsi="Verdana" w:cs="Times New Roman"/>
          <w:color w:val="000000"/>
        </w:rPr>
        <w:t>GAAP operating margin was 16.8% and non-GAAP operating margin was 19.7% for 2017.</w:t>
      </w:r>
    </w:p>
    <w:p w14:paraId="323A839C" w14:textId="77777777" w:rsidR="004C392A" w:rsidRDefault="004C392A"/>
    <w:p w14:paraId="6192D50F" w14:textId="77777777" w:rsidR="004C392A" w:rsidRPr="004C392A" w:rsidRDefault="004C392A" w:rsidP="004C392A">
      <w:pPr>
        <w:shd w:val="clear" w:color="auto" w:fill="FFFFFF"/>
        <w:spacing w:after="225"/>
        <w:rPr>
          <w:rFonts w:ascii="Verdana" w:hAnsi="Verdana" w:cs="Times New Roman"/>
          <w:b/>
          <w:color w:val="000000"/>
          <w:u w:val="single"/>
        </w:rPr>
      </w:pPr>
      <w:r w:rsidRPr="00C3196B">
        <w:rPr>
          <w:rFonts w:ascii="Verdana" w:hAnsi="Verdana" w:cs="Times New Roman"/>
          <w:b/>
          <w:color w:val="000000"/>
          <w:u w:val="single"/>
        </w:rPr>
        <w:t>First Quarter &amp; Full Year</w:t>
      </w:r>
      <w:r w:rsidRPr="004C392A">
        <w:rPr>
          <w:rFonts w:ascii="Verdana" w:hAnsi="Verdana" w:cs="Times New Roman"/>
          <w:b/>
          <w:color w:val="000000"/>
          <w:u w:val="single"/>
        </w:rPr>
        <w:t> 2018 Outlook</w:t>
      </w:r>
    </w:p>
    <w:p w14:paraId="590478B7" w14:textId="77777777" w:rsidR="004C392A" w:rsidRPr="004C392A" w:rsidRDefault="004C392A" w:rsidP="004C392A">
      <w:pPr>
        <w:shd w:val="clear" w:color="auto" w:fill="FFFFFF"/>
        <w:spacing w:after="225"/>
        <w:rPr>
          <w:rFonts w:ascii="Verdana" w:hAnsi="Verdana" w:cs="Times New Roman"/>
          <w:color w:val="000000"/>
        </w:rPr>
      </w:pPr>
      <w:r w:rsidRPr="004C392A">
        <w:rPr>
          <w:rFonts w:ascii="Verdana" w:hAnsi="Verdana" w:cs="Times New Roman"/>
          <w:color w:val="000000"/>
        </w:rPr>
        <w:t>The Company is providing the following guidance:</w:t>
      </w:r>
    </w:p>
    <w:p w14:paraId="355F84F9" w14:textId="3E4822BF" w:rsidR="00272172" w:rsidRDefault="004C392A" w:rsidP="00CF68B8">
      <w:pPr>
        <w:numPr>
          <w:ilvl w:val="0"/>
          <w:numId w:val="2"/>
        </w:numPr>
        <w:shd w:val="clear" w:color="auto" w:fill="FFFFFF"/>
        <w:ind w:left="0"/>
        <w:rPr>
          <w:rFonts w:ascii="Verdana" w:eastAsia="Times New Roman" w:hAnsi="Verdana" w:cs="Times New Roman"/>
          <w:color w:val="000000"/>
        </w:rPr>
      </w:pPr>
      <w:r w:rsidRPr="004C392A">
        <w:rPr>
          <w:rFonts w:ascii="Verdana" w:eastAsia="Times New Roman" w:hAnsi="Verdana" w:cs="Times New Roman"/>
          <w:color w:val="000000"/>
        </w:rPr>
        <w:t>First quarter 2018 revenue expected to be in the range of $3.88 billion to $3.92 billion.</w:t>
      </w:r>
      <w:r w:rsidR="00272172">
        <w:rPr>
          <w:rFonts w:ascii="Verdana" w:eastAsia="Times New Roman" w:hAnsi="Verdana" w:cs="Times New Roman"/>
          <w:color w:val="000000"/>
        </w:rPr>
        <w:t xml:space="preserve">  </w:t>
      </w:r>
      <w:r w:rsidR="00272172" w:rsidRPr="00272172">
        <w:rPr>
          <w:rFonts w:ascii="Verdana" w:hAnsi="Verdana" w:cs="Times New Roman"/>
          <w:color w:val="000000"/>
        </w:rPr>
        <w:t>(consensus: $3.88B);</w:t>
      </w:r>
    </w:p>
    <w:p w14:paraId="7069C1FD" w14:textId="77777777" w:rsidR="00272172" w:rsidRPr="004C392A" w:rsidRDefault="00272172" w:rsidP="00CF68B8">
      <w:pPr>
        <w:shd w:val="clear" w:color="auto" w:fill="FFFFFF"/>
        <w:rPr>
          <w:rFonts w:ascii="Verdana" w:eastAsia="Times New Roman" w:hAnsi="Verdana" w:cs="Times New Roman"/>
          <w:color w:val="000000"/>
        </w:rPr>
      </w:pPr>
    </w:p>
    <w:p w14:paraId="7C851666" w14:textId="030AF9ED" w:rsidR="00272172" w:rsidRPr="00CF68B8" w:rsidRDefault="004C392A" w:rsidP="00CF68B8">
      <w:pPr>
        <w:numPr>
          <w:ilvl w:val="0"/>
          <w:numId w:val="2"/>
        </w:numPr>
        <w:shd w:val="clear" w:color="auto" w:fill="FFFFFF"/>
        <w:ind w:left="0"/>
        <w:rPr>
          <w:rFonts w:ascii="Verdana" w:eastAsia="Times New Roman" w:hAnsi="Verdana" w:cs="Times New Roman"/>
          <w:color w:val="000000"/>
        </w:rPr>
      </w:pPr>
      <w:r w:rsidRPr="004C392A">
        <w:rPr>
          <w:rFonts w:ascii="Verdana" w:eastAsia="Times New Roman" w:hAnsi="Verdana" w:cs="Times New Roman"/>
          <w:color w:val="000000"/>
        </w:rPr>
        <w:t>First quarter 2018 non-GAAP diluted EPS</w:t>
      </w:r>
      <w:r w:rsidRPr="004C392A">
        <w:rPr>
          <w:rFonts w:ascii="Verdana" w:eastAsia="Times New Roman" w:hAnsi="Verdana" w:cs="Times New Roman"/>
          <w:color w:val="000000"/>
          <w:sz w:val="18"/>
          <w:szCs w:val="18"/>
          <w:vertAlign w:val="superscript"/>
        </w:rPr>
        <w:t>2</w:t>
      </w:r>
      <w:r w:rsidRPr="004C392A">
        <w:rPr>
          <w:rFonts w:ascii="Verdana" w:eastAsia="Times New Roman" w:hAnsi="Verdana" w:cs="Times New Roman"/>
          <w:color w:val="000000"/>
        </w:rPr>
        <w:t> expected to be at least $1.04.</w:t>
      </w:r>
      <w:r w:rsidR="00272172">
        <w:rPr>
          <w:rFonts w:ascii="Verdana" w:eastAsia="Times New Roman" w:hAnsi="Verdana" w:cs="Times New Roman"/>
          <w:color w:val="000000"/>
        </w:rPr>
        <w:t xml:space="preserve"> </w:t>
      </w:r>
      <w:r w:rsidR="00272172" w:rsidRPr="00272172">
        <w:rPr>
          <w:rFonts w:ascii="Verdana" w:hAnsi="Verdana" w:cs="Times New Roman"/>
          <w:color w:val="000000"/>
        </w:rPr>
        <w:t>(consensus: $1.01). </w:t>
      </w:r>
    </w:p>
    <w:p w14:paraId="31B80ADA" w14:textId="77777777" w:rsidR="00272172" w:rsidRPr="004C392A" w:rsidRDefault="00272172" w:rsidP="00CF68B8">
      <w:pPr>
        <w:shd w:val="clear" w:color="auto" w:fill="FFFFFF"/>
        <w:rPr>
          <w:rFonts w:ascii="Verdana" w:eastAsia="Times New Roman" w:hAnsi="Verdana" w:cs="Times New Roman"/>
          <w:color w:val="000000"/>
        </w:rPr>
      </w:pPr>
    </w:p>
    <w:p w14:paraId="1088DACA" w14:textId="1E2DA163" w:rsidR="004C392A" w:rsidRPr="00F63CAD" w:rsidRDefault="004C392A" w:rsidP="00CF68B8">
      <w:pPr>
        <w:numPr>
          <w:ilvl w:val="0"/>
          <w:numId w:val="2"/>
        </w:numPr>
        <w:shd w:val="clear" w:color="auto" w:fill="FFFFFF"/>
        <w:ind w:left="0"/>
        <w:rPr>
          <w:rFonts w:ascii="Verdana" w:eastAsia="Times New Roman" w:hAnsi="Verdana" w:cs="Times New Roman"/>
          <w:color w:val="000000"/>
        </w:rPr>
      </w:pPr>
      <w:r w:rsidRPr="004C392A">
        <w:rPr>
          <w:rFonts w:ascii="Verdana" w:eastAsia="Times New Roman" w:hAnsi="Verdana" w:cs="Times New Roman"/>
          <w:color w:val="000000"/>
        </w:rPr>
        <w:t>Full year 2018 revenue expected to be in the range of $16.00 billion to $16.30 billion.</w:t>
      </w:r>
      <w:r w:rsidR="00F63CAD">
        <w:rPr>
          <w:rFonts w:ascii="Verdana" w:eastAsia="Times New Roman" w:hAnsi="Verdana" w:cs="Times New Roman"/>
          <w:color w:val="000000"/>
        </w:rPr>
        <w:t xml:space="preserve">  </w:t>
      </w:r>
      <w:r w:rsidR="00F63CAD" w:rsidRPr="00272172">
        <w:rPr>
          <w:rFonts w:ascii="Verdana" w:hAnsi="Verdana" w:cs="Times New Roman"/>
          <w:color w:val="000000"/>
        </w:rPr>
        <w:t>(consensus: $16.19B);</w:t>
      </w:r>
    </w:p>
    <w:p w14:paraId="57951546" w14:textId="77777777" w:rsidR="00F63CAD" w:rsidRPr="004C392A" w:rsidRDefault="00F63CAD" w:rsidP="00CF68B8">
      <w:pPr>
        <w:shd w:val="clear" w:color="auto" w:fill="FFFFFF"/>
        <w:rPr>
          <w:rFonts w:ascii="Verdana" w:eastAsia="Times New Roman" w:hAnsi="Verdana" w:cs="Times New Roman"/>
          <w:color w:val="000000"/>
        </w:rPr>
      </w:pPr>
    </w:p>
    <w:p w14:paraId="6D3E405C" w14:textId="119A7413" w:rsidR="004C392A" w:rsidRPr="004C392A" w:rsidRDefault="004C392A" w:rsidP="00CF68B8">
      <w:pPr>
        <w:numPr>
          <w:ilvl w:val="0"/>
          <w:numId w:val="2"/>
        </w:numPr>
        <w:shd w:val="clear" w:color="auto" w:fill="FFFFFF"/>
        <w:ind w:left="0"/>
        <w:rPr>
          <w:rFonts w:ascii="Verdana" w:eastAsia="Times New Roman" w:hAnsi="Verdana" w:cs="Times New Roman"/>
          <w:color w:val="000000"/>
        </w:rPr>
      </w:pPr>
      <w:r w:rsidRPr="004C392A">
        <w:rPr>
          <w:rFonts w:ascii="Verdana" w:eastAsia="Times New Roman" w:hAnsi="Verdana" w:cs="Times New Roman"/>
          <w:color w:val="000000"/>
        </w:rPr>
        <w:t>Full year 2018 non-GAAP diluted EPS expected to be at least $4.53.</w:t>
      </w:r>
      <w:r w:rsidR="0047559B">
        <w:rPr>
          <w:rFonts w:ascii="Verdana" w:eastAsia="Times New Roman" w:hAnsi="Verdana" w:cs="Times New Roman"/>
          <w:color w:val="000000"/>
        </w:rPr>
        <w:t xml:space="preserve">  </w:t>
      </w:r>
      <w:r w:rsidR="0047559B" w:rsidRPr="00272172">
        <w:rPr>
          <w:rFonts w:ascii="Verdana" w:hAnsi="Verdana" w:cs="Times New Roman"/>
          <w:color w:val="000000"/>
        </w:rPr>
        <w:t>(consensus: $4.35).    </w:t>
      </w:r>
    </w:p>
    <w:p w14:paraId="3745837F" w14:textId="77777777" w:rsidR="004C392A" w:rsidRDefault="004C392A" w:rsidP="00CF68B8"/>
    <w:p w14:paraId="318B27D5" w14:textId="77777777" w:rsidR="00272172" w:rsidRPr="00272172" w:rsidRDefault="00272172" w:rsidP="00272172">
      <w:pPr>
        <w:shd w:val="clear" w:color="auto" w:fill="FFFFFF"/>
        <w:spacing w:after="225" w:line="390" w:lineRule="atLeast"/>
        <w:rPr>
          <w:rFonts w:ascii="Verdana" w:hAnsi="Verdana" w:cs="Times New Roman"/>
          <w:color w:val="000000"/>
        </w:rPr>
      </w:pPr>
      <w:r w:rsidRPr="00272172">
        <w:rPr>
          <w:rFonts w:ascii="Verdana" w:hAnsi="Verdana" w:cs="Times New Roman"/>
          <w:color w:val="000000"/>
        </w:rPr>
        <w:t>Key metrics: Non-GAAP operating margin, 19.7%; cash and equivalents, $1.93B; total liabilities, $4.6B. </w:t>
      </w:r>
    </w:p>
    <w:p w14:paraId="78C2C992" w14:textId="27B84C4A" w:rsidR="00347B31" w:rsidRDefault="00272172" w:rsidP="00272172">
      <w:pPr>
        <w:shd w:val="clear" w:color="auto" w:fill="FFFFFF"/>
        <w:spacing w:after="225" w:line="390" w:lineRule="atLeast"/>
        <w:rPr>
          <w:rFonts w:ascii="Verdana" w:hAnsi="Verdana" w:cs="Times New Roman"/>
          <w:color w:val="000000"/>
        </w:rPr>
      </w:pPr>
      <w:r w:rsidRPr="00272172">
        <w:rPr>
          <w:rFonts w:ascii="Verdana" w:hAnsi="Verdana" w:cs="Times New Roman"/>
          <w:color w:val="000000"/>
        </w:rPr>
        <w:t>Tax reform impact: Recorded a one-time provisional income tax expense of $617M primarily due to repatriation tax that reduced GAAP diluted EPS by $1.04 during the quarter and year. Company expects overall corporate income ta rate to be approximately 24% for 2018 and 24% to 26% starting next year. </w:t>
      </w:r>
    </w:p>
    <w:p w14:paraId="6E69E450" w14:textId="13704FAB" w:rsidR="00DC3671" w:rsidRDefault="00DC3671" w:rsidP="00272172">
      <w:pPr>
        <w:shd w:val="clear" w:color="auto" w:fill="FFFFFF"/>
        <w:spacing w:after="225" w:line="390" w:lineRule="atLeast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noProof/>
          <w:color w:val="000000"/>
        </w:rPr>
        <w:lastRenderedPageBreak/>
        <w:drawing>
          <wp:inline distT="0" distB="0" distL="0" distR="0" wp14:anchorId="425C0168" wp14:editId="7502FBA6">
            <wp:extent cx="6858000" cy="273772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8CD4B" w14:textId="087AF316" w:rsidR="00DC3671" w:rsidRPr="00272172" w:rsidRDefault="008B106E" w:rsidP="00272172">
      <w:pPr>
        <w:shd w:val="clear" w:color="auto" w:fill="FFFFFF"/>
        <w:spacing w:after="225" w:line="390" w:lineRule="atLeast"/>
        <w:rPr>
          <w:rFonts w:ascii="Verdana" w:hAnsi="Verdana" w:cs="Times New Roman"/>
          <w:color w:val="000000"/>
        </w:rPr>
      </w:pPr>
      <w:r>
        <w:rPr>
          <w:rFonts w:ascii="Verdana" w:hAnsi="Verdana" w:cs="Times New Roman"/>
          <w:noProof/>
          <w:color w:val="000000"/>
        </w:rPr>
        <w:drawing>
          <wp:inline distT="0" distB="0" distL="0" distR="0" wp14:anchorId="73DD8304" wp14:editId="35F5499F">
            <wp:extent cx="6858000" cy="273772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8E930" w14:textId="77777777" w:rsidR="001D5DBD" w:rsidRDefault="001D5DBD"/>
    <w:p w14:paraId="08F236E2" w14:textId="4729D7FD" w:rsidR="00485B8D" w:rsidRDefault="00B772CE">
      <w:r>
        <w:rPr>
          <w:noProof/>
        </w:rPr>
        <w:drawing>
          <wp:inline distT="0" distB="0" distL="0" distR="0" wp14:anchorId="066EAFEC" wp14:editId="0CA7AB3C">
            <wp:extent cx="6858000" cy="273772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49F6E" w14:textId="77777777" w:rsidR="00485B8D" w:rsidRDefault="00485B8D">
      <w:bookmarkStart w:id="0" w:name="_GoBack"/>
      <w:bookmarkEnd w:id="0"/>
    </w:p>
    <w:p w14:paraId="4BA4FA01" w14:textId="77777777" w:rsidR="00485B8D" w:rsidRDefault="00485B8D"/>
    <w:sectPr w:rsidR="00485B8D" w:rsidSect="007722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2"/>
    <w:multiLevelType w:val="multilevel"/>
    <w:tmpl w:val="6BC2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6F2B29"/>
    <w:multiLevelType w:val="multilevel"/>
    <w:tmpl w:val="96E0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3E4106"/>
    <w:multiLevelType w:val="multilevel"/>
    <w:tmpl w:val="96E0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E0"/>
    <w:rsid w:val="001833DF"/>
    <w:rsid w:val="001870BD"/>
    <w:rsid w:val="001D5DBD"/>
    <w:rsid w:val="00272172"/>
    <w:rsid w:val="00347B31"/>
    <w:rsid w:val="003732F8"/>
    <w:rsid w:val="003941D0"/>
    <w:rsid w:val="0047559B"/>
    <w:rsid w:val="00485B8D"/>
    <w:rsid w:val="004C392A"/>
    <w:rsid w:val="005F7D1C"/>
    <w:rsid w:val="006639C1"/>
    <w:rsid w:val="006659A4"/>
    <w:rsid w:val="006B7434"/>
    <w:rsid w:val="007722EC"/>
    <w:rsid w:val="007B7095"/>
    <w:rsid w:val="00880C35"/>
    <w:rsid w:val="00886A48"/>
    <w:rsid w:val="008966E0"/>
    <w:rsid w:val="008B106E"/>
    <w:rsid w:val="00987490"/>
    <w:rsid w:val="00A12654"/>
    <w:rsid w:val="00B772CE"/>
    <w:rsid w:val="00C3196B"/>
    <w:rsid w:val="00C7484F"/>
    <w:rsid w:val="00CF68B8"/>
    <w:rsid w:val="00D52446"/>
    <w:rsid w:val="00D86F5E"/>
    <w:rsid w:val="00DC3671"/>
    <w:rsid w:val="00E965D6"/>
    <w:rsid w:val="00E97AE4"/>
    <w:rsid w:val="00F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AB64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0C3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li">
    <w:name w:val="bullets_li"/>
    <w:basedOn w:val="Normal"/>
    <w:rsid w:val="008966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66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C3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659A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location">
    <w:name w:val="location"/>
    <w:basedOn w:val="DefaultParagraphFont"/>
    <w:rsid w:val="004C392A"/>
  </w:style>
  <w:style w:type="paragraph" w:styleId="BalloonText">
    <w:name w:val="Balloon Text"/>
    <w:basedOn w:val="Normal"/>
    <w:link w:val="BalloonTextChar"/>
    <w:uiPriority w:val="99"/>
    <w:semiHidden/>
    <w:unhideWhenUsed/>
    <w:rsid w:val="007722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0C3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li">
    <w:name w:val="bullets_li"/>
    <w:basedOn w:val="Normal"/>
    <w:rsid w:val="008966E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66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C3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659A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location">
    <w:name w:val="location"/>
    <w:basedOn w:val="DefaultParagraphFont"/>
    <w:rsid w:val="004C392A"/>
  </w:style>
  <w:style w:type="paragraph" w:styleId="BalloonText">
    <w:name w:val="Balloon Text"/>
    <w:basedOn w:val="Normal"/>
    <w:link w:val="BalloonTextChar"/>
    <w:uiPriority w:val="99"/>
    <w:semiHidden/>
    <w:unhideWhenUsed/>
    <w:rsid w:val="007722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seekingalpha.com/symbol/CTSH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03B6CC-88B3-4847-8627-6B7B6F68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251</Words>
  <Characters>1437</Characters>
  <Application>Microsoft Macintosh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31</cp:revision>
  <dcterms:created xsi:type="dcterms:W3CDTF">2018-02-10T18:42:00Z</dcterms:created>
  <dcterms:modified xsi:type="dcterms:W3CDTF">2018-02-11T16:56:00Z</dcterms:modified>
</cp:coreProperties>
</file>