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Ind w:w="3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1427"/>
        <w:gridCol w:w="3041"/>
        <w:gridCol w:w="714"/>
        <w:gridCol w:w="600"/>
      </w:tblGrid>
      <w:tr w:rsidR="004D1FD8" w:rsidRPr="004D1FD8" w:rsidTr="004D1FD8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Company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Ticker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Industry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Quality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PAR</w:t>
            </w:r>
          </w:p>
        </w:tc>
      </w:tr>
      <w:tr w:rsidR="004D1FD8" w:rsidRPr="004D1FD8" w:rsidTr="004D1FD8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Teva</w:t>
            </w:r>
            <w:proofErr w:type="spellEnd"/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Pharma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caps/>
                <w:sz w:val="17"/>
                <w:szCs w:val="17"/>
              </w:rPr>
              <w:t>TEVA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hyperlink r:id="rId4" w:history="1">
              <w:r w:rsidRPr="004D1FD8">
                <w:rPr>
                  <w:rFonts w:ascii="Verdana" w:eastAsia="Times New Roman" w:hAnsi="Verdana" w:cs="Times New Roman"/>
                  <w:color w:val="990000"/>
                  <w:sz w:val="17"/>
                  <w:szCs w:val="17"/>
                </w:rPr>
                <w:t>Drug (Generic)</w:t>
              </w:r>
            </w:hyperlink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F497D" w:themeColor="text2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color w:val="1F497D" w:themeColor="text2"/>
                <w:sz w:val="17"/>
                <w:szCs w:val="17"/>
              </w:rPr>
              <w:t>79.5</w:t>
            </w:r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B050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color w:val="00B050"/>
                <w:sz w:val="17"/>
                <w:szCs w:val="17"/>
              </w:rPr>
              <w:t>14.0%</w:t>
            </w: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Current Price (11/05)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$50.77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 xml:space="preserve">CAPS Rating </w:t>
            </w:r>
            <w:r w:rsidRPr="004D1FD8">
              <w:rPr>
                <w:rFonts w:ascii="Verdana" w:eastAsia="Times New Roman" w:hAnsi="Verdana" w:cs="Times New Roman"/>
                <w:sz w:val="15"/>
                <w:szCs w:val="15"/>
              </w:rPr>
              <w:t>(</w:t>
            </w:r>
            <w:hyperlink r:id="rId5" w:tgtFrame="_fool" w:history="1">
              <w:r w:rsidRPr="004D1FD8">
                <w:rPr>
                  <w:rFonts w:ascii="Verdana" w:eastAsia="Times New Roman" w:hAnsi="Verdana" w:cs="Times New Roman"/>
                  <w:color w:val="990000"/>
                  <w:sz w:val="15"/>
                  <w:szCs w:val="15"/>
                </w:rPr>
                <w:t>Rate this stock on CAPS</w:t>
              </w:r>
            </w:hyperlink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514350" cy="95250"/>
                  <wp:effectExtent l="19050" t="0" r="0" b="0"/>
                  <wp:docPr id="1" name="Picture 1" descr="http://www.manifestinvesting.com/static/images/foolcaps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nifestinvesting.com/static/images/foolcaps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Expected Income Statement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Current Sales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15,455.0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Sales Growth Forecast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9.0%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Net Profit Margin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28.0%</w:t>
            </w: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Projected Shares Outstanding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918.0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EPS - Five Year Forecast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$7.26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Average P/E Ratio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13.0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Projected Average Price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$94.41</w:t>
            </w: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Price Appreciation (Annualized)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13.2%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Annual Dividend Yield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0.8%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3F3F3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Projected Annual Return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3F3F3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B050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color w:val="00B050"/>
                <w:sz w:val="17"/>
                <w:szCs w:val="17"/>
              </w:rPr>
              <w:t>14.0%</w:t>
            </w: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Quality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Financial Strength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88</w:t>
            </w:r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22.0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EPS Stability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88</w:t>
            </w:r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22.0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Industry Sales Growth Rate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10.7%</w:t>
            </w:r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10.5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Industry Net Profit Margin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12.3%</w:t>
            </w:r>
          </w:p>
        </w:tc>
        <w:tc>
          <w:tcPr>
            <w:tcW w:w="3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25.0</w:t>
            </w:r>
          </w:p>
        </w:tc>
      </w:tr>
      <w:tr w:rsidR="004D1FD8" w:rsidRPr="004D1FD8" w:rsidTr="004D1FD8"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3F3F3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Calculated Quality Rating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3F3F3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79.5</w:t>
            </w: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EE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Fool CAPS</w:t>
            </w: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9"/>
                <w:szCs w:val="9"/>
              </w:rPr>
            </w:pPr>
            <w:r w:rsidRPr="004D1FD8">
              <w:rPr>
                <w:rFonts w:ascii="Verdana" w:eastAsia="Times New Roman" w:hAnsi="Verdana" w:cs="Times New Roman"/>
                <w:b/>
                <w:bCs/>
                <w:color w:val="333333"/>
                <w:sz w:val="9"/>
                <w:szCs w:val="9"/>
              </w:rPr>
              <w:t>Total Players</w:t>
            </w:r>
          </w:p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8"/>
              </w:rPr>
            </w:pPr>
            <w:r w:rsidRPr="004D1FD8">
              <w:rPr>
                <w:rFonts w:ascii="Verdana" w:eastAsia="Times New Roman" w:hAnsi="Verdana" w:cs="Times New Roman"/>
                <w:sz w:val="8"/>
                <w:szCs w:val="8"/>
              </w:rPr>
              <w:t>1876 Outperforms</w:t>
            </w:r>
          </w:p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8"/>
                <w:szCs w:val="8"/>
              </w:rPr>
            </w:pPr>
            <w:r w:rsidRPr="004D1FD8">
              <w:rPr>
                <w:rFonts w:ascii="Verdana" w:eastAsia="Times New Roman" w:hAnsi="Verdana" w:cs="Times New Roman"/>
                <w:sz w:val="8"/>
                <w:szCs w:val="8"/>
              </w:rPr>
              <w:t>63 Underperforms</w:t>
            </w:r>
          </w:p>
          <w:p w:rsidR="004D1FD8" w:rsidRPr="004D1FD8" w:rsidRDefault="004D1FD8" w:rsidP="004D1FD8">
            <w:pPr>
              <w:spacing w:line="240" w:lineRule="auto"/>
              <w:rPr>
                <w:rFonts w:ascii="Verdana" w:eastAsia="Times New Roman" w:hAnsi="Verdana" w:cs="Times New Roman"/>
                <w:sz w:val="6"/>
                <w:szCs w:val="6"/>
              </w:rPr>
            </w:pPr>
            <w:r w:rsidRPr="004D1FD8">
              <w:rPr>
                <w:rFonts w:ascii="Verdana" w:eastAsia="Times New Roman" w:hAnsi="Verdana" w:cs="Times New Roman"/>
                <w:sz w:val="6"/>
                <w:szCs w:val="6"/>
              </w:rPr>
              <w:t> </w:t>
            </w:r>
          </w:p>
          <w:p w:rsidR="004D1FD8" w:rsidRPr="004D1FD8" w:rsidRDefault="004D1FD8" w:rsidP="004D1FD8">
            <w:pPr>
              <w:spacing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333333"/>
                <w:sz w:val="9"/>
                <w:szCs w:val="9"/>
              </w:rPr>
            </w:pPr>
            <w:r w:rsidRPr="004D1FD8">
              <w:rPr>
                <w:rFonts w:ascii="Verdana" w:eastAsia="Times New Roman" w:hAnsi="Verdana" w:cs="Times New Roman"/>
                <w:b/>
                <w:bCs/>
                <w:color w:val="333333"/>
                <w:sz w:val="9"/>
                <w:szCs w:val="9"/>
              </w:rPr>
              <w:t>All-Stars</w:t>
            </w:r>
          </w:p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8"/>
                <w:szCs w:val="8"/>
              </w:rPr>
            </w:pPr>
            <w:r w:rsidRPr="004D1FD8">
              <w:rPr>
                <w:rFonts w:ascii="Verdana" w:eastAsia="Times New Roman" w:hAnsi="Verdana" w:cs="Times New Roman"/>
                <w:sz w:val="8"/>
                <w:szCs w:val="8"/>
              </w:rPr>
              <w:t>531 Outperforms (98.3%)</w:t>
            </w:r>
          </w:p>
          <w:p w:rsidR="004D1FD8" w:rsidRPr="004D1FD8" w:rsidRDefault="004D1FD8" w:rsidP="004D1F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8"/>
                <w:szCs w:val="8"/>
              </w:rPr>
            </w:pPr>
            <w:r w:rsidRPr="004D1FD8">
              <w:rPr>
                <w:rFonts w:ascii="Verdana" w:eastAsia="Times New Roman" w:hAnsi="Verdana" w:cs="Times New Roman"/>
                <w:sz w:val="8"/>
                <w:szCs w:val="8"/>
              </w:rPr>
              <w:t>9 Underperforms</w:t>
            </w:r>
          </w:p>
          <w:p w:rsidR="004D1FD8" w:rsidRPr="004D1FD8" w:rsidRDefault="004D1FD8" w:rsidP="004D1FD8">
            <w:pPr>
              <w:spacing w:line="240" w:lineRule="auto"/>
              <w:rPr>
                <w:rFonts w:ascii="Verdana" w:eastAsia="Times New Roman" w:hAnsi="Verdana" w:cs="Times New Roman"/>
                <w:sz w:val="6"/>
                <w:szCs w:val="6"/>
              </w:rPr>
            </w:pPr>
            <w:r w:rsidRPr="004D1FD8">
              <w:rPr>
                <w:rFonts w:ascii="Verdana" w:eastAsia="Times New Roman" w:hAnsi="Verdana" w:cs="Times New Roman"/>
                <w:sz w:val="6"/>
                <w:szCs w:val="6"/>
              </w:rPr>
              <w:t> </w:t>
            </w: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4D1FD8" w:rsidRPr="004D1FD8" w:rsidTr="004D1FD8">
        <w:tc>
          <w:tcPr>
            <w:tcW w:w="0" w:type="auto"/>
            <w:gridSpan w:val="5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3F3F3"/>
            <w:vAlign w:val="center"/>
            <w:hideMark/>
          </w:tcPr>
          <w:p w:rsidR="004D1FD8" w:rsidRPr="004D1FD8" w:rsidRDefault="004D1FD8" w:rsidP="004D1F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4D1FD8">
              <w:rPr>
                <w:rFonts w:ascii="Verdana" w:eastAsia="Times New Roman" w:hAnsi="Verdana" w:cs="Times New Roman"/>
                <w:sz w:val="17"/>
                <w:szCs w:val="17"/>
              </w:rPr>
              <w:t>Fundamental Data Updated: 10/15/2010</w:t>
            </w:r>
          </w:p>
        </w:tc>
      </w:tr>
    </w:tbl>
    <w:p w:rsidR="00EC5CAD" w:rsidRDefault="00EC5CAD"/>
    <w:sectPr w:rsidR="00EC5CAD" w:rsidSect="00EC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4D1FD8"/>
    <w:rsid w:val="001A4501"/>
    <w:rsid w:val="004D1FD8"/>
    <w:rsid w:val="00571637"/>
    <w:rsid w:val="005A368D"/>
    <w:rsid w:val="006E5843"/>
    <w:rsid w:val="00A11737"/>
    <w:rsid w:val="00B809D1"/>
    <w:rsid w:val="00EC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A368D"/>
    <w:rPr>
      <w:i/>
      <w:iCs/>
    </w:rPr>
  </w:style>
  <w:style w:type="paragraph" w:styleId="NoSpacing">
    <w:name w:val="No Spacing"/>
    <w:uiPriority w:val="1"/>
    <w:qFormat/>
    <w:rsid w:val="005A36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5349">
      <w:bodyDiv w:val="1"/>
      <w:marLeft w:val="0"/>
      <w:marRight w:val="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419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79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9652">
                  <w:marLeft w:val="150"/>
                  <w:marRight w:val="1875"/>
                  <w:marTop w:val="150"/>
                  <w:marBottom w:val="150"/>
                  <w:divBdr>
                    <w:top w:val="single" w:sz="2" w:space="4" w:color="CCCCCC"/>
                    <w:left w:val="single" w:sz="2" w:space="4" w:color="CCCCCC"/>
                    <w:bottom w:val="single" w:sz="2" w:space="4" w:color="CCCCCC"/>
                    <w:right w:val="single" w:sz="2" w:space="4" w:color="CCCCCC"/>
                  </w:divBdr>
                  <w:divsChild>
                    <w:div w:id="7879721">
                      <w:marLeft w:val="75"/>
                      <w:marRight w:val="75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8339">
                              <w:marLeft w:val="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70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D9D3C7"/>
                                <w:left w:val="single" w:sz="2" w:space="0" w:color="D9D3C7"/>
                                <w:bottom w:val="single" w:sz="2" w:space="0" w:color="D9D3C7"/>
                                <w:right w:val="single" w:sz="2" w:space="0" w:color="D9D3C7"/>
                              </w:divBdr>
                              <w:divsChild>
                                <w:div w:id="16567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3C7"/>
                                    <w:left w:val="single" w:sz="2" w:space="0" w:color="D9D3C7"/>
                                    <w:bottom w:val="single" w:sz="2" w:space="0" w:color="C2B9AA"/>
                                    <w:right w:val="single" w:sz="2" w:space="0" w:color="C2B9AA"/>
                                  </w:divBdr>
                                  <w:divsChild>
                                    <w:div w:id="50023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5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534790">
                              <w:marLeft w:val="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24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D9D3C7"/>
                                <w:left w:val="single" w:sz="2" w:space="0" w:color="D9D3C7"/>
                                <w:bottom w:val="single" w:sz="2" w:space="0" w:color="D9D3C7"/>
                                <w:right w:val="single" w:sz="2" w:space="0" w:color="D9D3C7"/>
                              </w:divBdr>
                              <w:divsChild>
                                <w:div w:id="115934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3C7"/>
                                    <w:left w:val="single" w:sz="2" w:space="0" w:color="D9D3C7"/>
                                    <w:bottom w:val="single" w:sz="2" w:space="0" w:color="C2B9AA"/>
                                    <w:right w:val="single" w:sz="2" w:space="0" w:color="C2B9AA"/>
                                  </w:divBdr>
                                  <w:divsChild>
                                    <w:div w:id="161744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caps.fool.com/Ticker.aspx?ticker=TEVA" TargetMode="External"/><Relationship Id="rId4" Type="http://schemas.openxmlformats.org/officeDocument/2006/relationships/hyperlink" Target="http://www.manifestinvesting.com/auth/quality_return.pl?industry_id=241&amp;rm=browse_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>acer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T-Williams</dc:creator>
  <cp:lastModifiedBy>T-Williams</cp:lastModifiedBy>
  <cp:revision>1</cp:revision>
  <dcterms:created xsi:type="dcterms:W3CDTF">2010-11-07T09:12:00Z</dcterms:created>
  <dcterms:modified xsi:type="dcterms:W3CDTF">2010-11-07T09:14:00Z</dcterms:modified>
</cp:coreProperties>
</file>