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E63004">
        <w:rPr>
          <w:rFonts w:cstheme="minorHAnsi"/>
          <w:color w:val="000000" w:themeColor="text1"/>
        </w:rPr>
        <w:t>September</w:t>
      </w:r>
      <w:r w:rsidR="00D620F7">
        <w:rPr>
          <w:rFonts w:cstheme="minorHAnsi"/>
          <w:color w:val="000000" w:themeColor="text1"/>
        </w:rPr>
        <w:t xml:space="preserve"> </w:t>
      </w:r>
      <w:r w:rsidR="00E63004">
        <w:rPr>
          <w:rFonts w:cstheme="minorHAnsi"/>
          <w:color w:val="000000" w:themeColor="text1"/>
        </w:rPr>
        <w:t>21</w:t>
      </w:r>
      <w:r w:rsidR="00EE68AA">
        <w:rPr>
          <w:rFonts w:cstheme="minorHAnsi"/>
          <w:color w:val="000000" w:themeColor="text1"/>
        </w:rPr>
        <w:t>, 2016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E3694C">
        <w:rPr>
          <w:rFonts w:cstheme="minorHAnsi"/>
          <w:color w:val="000000" w:themeColor="text1"/>
        </w:rPr>
        <w:t>05</w:t>
      </w:r>
      <w:r w:rsidRPr="00F477AD">
        <w:rPr>
          <w:rFonts w:cstheme="minorHAnsi"/>
          <w:color w:val="000000" w:themeColor="text1"/>
        </w:rPr>
        <w:t xml:space="preserve"> AM by </w:t>
      </w:r>
      <w:r w:rsidR="00841055">
        <w:rPr>
          <w:rFonts w:cstheme="minorHAnsi"/>
          <w:color w:val="000000" w:themeColor="text1"/>
        </w:rPr>
        <w:t>Srinivas Ponuguti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E63004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890"/>
        <w:gridCol w:w="669"/>
      </w:tblGrid>
      <w:tr w:rsidR="00B23FB2" w:rsidRPr="00EC26B1" w:rsidTr="0077483A">
        <w:tc>
          <w:tcPr>
            <w:tcW w:w="1998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90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669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77483A">
        <w:tc>
          <w:tcPr>
            <w:tcW w:w="1998" w:type="dxa"/>
          </w:tcPr>
          <w:p w:rsidR="00B23FB2" w:rsidRPr="00EC26B1" w:rsidRDefault="000F7D14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38404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B23FB2" w:rsidRPr="00EC26B1" w:rsidRDefault="004175BA" w:rsidP="00AB36D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B23FB2" w:rsidRPr="00EC26B1" w:rsidRDefault="009B154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E3694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Pr="00EC26B1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0F7D14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E3694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:rsidR="004175BA" w:rsidRDefault="00E3694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E3694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77483A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C0E6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213821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38404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77483A">
        <w:tc>
          <w:tcPr>
            <w:tcW w:w="1998" w:type="dxa"/>
          </w:tcPr>
          <w:p w:rsidR="004175BA" w:rsidRDefault="004175BA" w:rsidP="002E2762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16216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CC141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p w:rsidR="004175BA" w:rsidRDefault="004175BA" w:rsidP="005A0D76">
            <w:pPr>
              <w:rPr>
                <w:rFonts w:cstheme="minorHAnsi"/>
              </w:rPr>
            </w:pPr>
          </w:p>
        </w:tc>
        <w:tc>
          <w:tcPr>
            <w:tcW w:w="669" w:type="dxa"/>
          </w:tcPr>
          <w:sdt>
            <w:sdtPr>
              <w:rPr>
                <w:rFonts w:cstheme="minorHAnsi"/>
              </w:rPr>
              <w:id w:val="150779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75BA" w:rsidRDefault="004175BA" w:rsidP="004175B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4175BA" w:rsidRPr="00EC26B1" w:rsidTr="00FA7396">
        <w:tc>
          <w:tcPr>
            <w:tcW w:w="5547" w:type="dxa"/>
            <w:gridSpan w:val="4"/>
          </w:tcPr>
          <w:p w:rsidR="004175BA" w:rsidRPr="00B0240C" w:rsidRDefault="004175BA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</w:p>
    <w:p w:rsidR="00E3694C" w:rsidRDefault="00E3694C" w:rsidP="004652FC">
      <w:pPr>
        <w:rPr>
          <w:rFonts w:cstheme="minorHAnsi"/>
        </w:rPr>
      </w:pPr>
      <w:r>
        <w:rPr>
          <w:rFonts w:cstheme="minorHAnsi"/>
        </w:rPr>
        <w:t>Tom TenHoopen</w:t>
      </w:r>
    </w:p>
    <w:p w:rsidR="00CC0DD0" w:rsidRPr="00F7565F" w:rsidRDefault="001A0CAE" w:rsidP="00F7565F">
      <w:pPr>
        <w:pStyle w:val="ListParagraph"/>
        <w:numPr>
          <w:ilvl w:val="0"/>
          <w:numId w:val="6"/>
        </w:numPr>
        <w:rPr>
          <w:rFonts w:cstheme="minorHAnsi"/>
        </w:rPr>
      </w:pPr>
      <w:r w:rsidRPr="00F7565F">
        <w:rPr>
          <w:rFonts w:cstheme="minorHAnsi"/>
          <w:u w:val="single"/>
        </w:rPr>
        <w:t>Secretary’s Report</w:t>
      </w:r>
      <w:r w:rsidR="00BE6BD6" w:rsidRPr="00F7565F">
        <w:rPr>
          <w:rFonts w:cstheme="minorHAnsi"/>
        </w:rPr>
        <w:t>:</w:t>
      </w:r>
    </w:p>
    <w:p w:rsidR="00770A8C" w:rsidRPr="00065521" w:rsidRDefault="00E96617" w:rsidP="00D620F7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August</w:t>
      </w:r>
      <w:r w:rsidR="002D7811">
        <w:rPr>
          <w:rFonts w:cstheme="minorHAnsi"/>
        </w:rPr>
        <w:t xml:space="preserve"> meeting minutes </w:t>
      </w:r>
      <w:r w:rsidR="00FD330D">
        <w:rPr>
          <w:rFonts w:cstheme="minorHAnsi"/>
        </w:rPr>
        <w:t xml:space="preserve">was </w:t>
      </w:r>
      <w:r w:rsidR="002D7811">
        <w:rPr>
          <w:rFonts w:cstheme="minorHAnsi"/>
        </w:rPr>
        <w:t>presented</w:t>
      </w:r>
      <w:r w:rsidR="00FD330D">
        <w:rPr>
          <w:rFonts w:cstheme="minorHAnsi"/>
        </w:rPr>
        <w:t xml:space="preserve"> by </w:t>
      </w:r>
      <w:r w:rsidR="00FD330D" w:rsidRPr="00065521">
        <w:rPr>
          <w:rFonts w:cstheme="minorHAnsi"/>
        </w:rPr>
        <w:t>Percy</w:t>
      </w:r>
      <w:r w:rsidR="002D7811" w:rsidRPr="00065521">
        <w:rPr>
          <w:rFonts w:cstheme="minorHAnsi"/>
        </w:rPr>
        <w:t xml:space="preserve">.  </w:t>
      </w:r>
      <w:r w:rsidR="00B717A9">
        <w:t xml:space="preserve">Al </w:t>
      </w:r>
      <w:r w:rsidR="00CC1412" w:rsidRPr="00065521">
        <w:rPr>
          <w:rFonts w:cstheme="minorHAnsi"/>
        </w:rPr>
        <w:t xml:space="preserve">motioned to accept the meeting minutes. </w:t>
      </w:r>
      <w:r w:rsidR="00B717A9">
        <w:rPr>
          <w:rFonts w:cstheme="minorHAnsi"/>
        </w:rPr>
        <w:t xml:space="preserve">Georgeline </w:t>
      </w:r>
      <w:bookmarkStart w:id="0" w:name="_GoBack"/>
      <w:bookmarkEnd w:id="0"/>
      <w:r w:rsidR="00CC1412" w:rsidRPr="00065521">
        <w:rPr>
          <w:rFonts w:cstheme="minorHAnsi"/>
        </w:rPr>
        <w:t>seconded. All were in favor.</w:t>
      </w:r>
    </w:p>
    <w:p w:rsidR="001C5F29" w:rsidRPr="00065521" w:rsidRDefault="001C5F29" w:rsidP="001C5F29">
      <w:pPr>
        <w:pStyle w:val="ListParagraph"/>
        <w:ind w:left="1440"/>
        <w:rPr>
          <w:rFonts w:cstheme="minorHAnsi"/>
        </w:rPr>
      </w:pPr>
    </w:p>
    <w:p w:rsidR="00A210A0" w:rsidRPr="00065521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065521">
        <w:rPr>
          <w:rFonts w:cstheme="minorHAnsi"/>
          <w:u w:val="single"/>
        </w:rPr>
        <w:t>Treasurers Report</w:t>
      </w:r>
      <w:r w:rsidRPr="00065521">
        <w:rPr>
          <w:rFonts w:cstheme="minorHAnsi"/>
        </w:rPr>
        <w:t xml:space="preserve">: </w:t>
      </w:r>
    </w:p>
    <w:p w:rsidR="00426043" w:rsidRPr="00065521" w:rsidRDefault="00E96617" w:rsidP="0058598C">
      <w:pPr>
        <w:pStyle w:val="ListParagraph"/>
        <w:numPr>
          <w:ilvl w:val="1"/>
          <w:numId w:val="6"/>
        </w:numPr>
        <w:rPr>
          <w:rFonts w:cstheme="minorHAnsi"/>
        </w:rPr>
      </w:pPr>
      <w:r w:rsidRPr="00065521">
        <w:t>Per</w:t>
      </w:r>
      <w:r w:rsidR="009B154C" w:rsidRPr="00065521">
        <w:t>c</w:t>
      </w:r>
      <w:r w:rsidRPr="00065521">
        <w:t xml:space="preserve">y </w:t>
      </w:r>
      <w:r w:rsidR="001C5F29" w:rsidRPr="00065521">
        <w:t xml:space="preserve">reviewed </w:t>
      </w:r>
      <w:r w:rsidR="009B154C" w:rsidRPr="00065521">
        <w:t>August</w:t>
      </w:r>
      <w:r w:rsidR="00F2307F" w:rsidRPr="00065521">
        <w:t xml:space="preserve"> </w:t>
      </w:r>
      <w:r w:rsidR="001C5F29" w:rsidRPr="00065521">
        <w:t>Tr</w:t>
      </w:r>
      <w:r w:rsidR="00103049" w:rsidRPr="00065521">
        <w:t>easurer’s</w:t>
      </w:r>
      <w:r w:rsidR="00F2307F" w:rsidRPr="00065521">
        <w:t xml:space="preserve"> Report</w:t>
      </w:r>
      <w:r w:rsidR="00103049" w:rsidRPr="00065521">
        <w:t xml:space="preserve">. </w:t>
      </w:r>
      <w:r w:rsidR="00743980" w:rsidRPr="00065521">
        <w:t xml:space="preserve">  </w:t>
      </w:r>
    </w:p>
    <w:p w:rsidR="00103049" w:rsidRDefault="00426043" w:rsidP="002E2762">
      <w:pPr>
        <w:pStyle w:val="ListParagraph"/>
        <w:numPr>
          <w:ilvl w:val="1"/>
          <w:numId w:val="6"/>
        </w:numPr>
      </w:pPr>
      <w:r>
        <w:t xml:space="preserve">However since the Comerica account couldn’t be </w:t>
      </w:r>
      <w:r w:rsidR="00383CD5">
        <w:t xml:space="preserve">transferred </w:t>
      </w:r>
      <w:r>
        <w:t xml:space="preserve"> the treasurer’s report acceptance will be </w:t>
      </w:r>
      <w:r w:rsidR="00383CD5">
        <w:t>postponed until next month</w:t>
      </w:r>
      <w:r>
        <w:t>.  N/A</w:t>
      </w:r>
      <w:r w:rsidR="00103049">
        <w:t xml:space="preserve"> </w:t>
      </w:r>
      <w:r w:rsidR="00611B6B">
        <w:t>motioned to</w:t>
      </w:r>
      <w:r w:rsidR="00103049">
        <w:t xml:space="preserve"> accept the Treasurer report. </w:t>
      </w:r>
      <w:r>
        <w:t>N/A</w:t>
      </w:r>
      <w:r w:rsidR="00103049">
        <w:t xml:space="preserve"> seconded, </w:t>
      </w:r>
      <w:r>
        <w:t>N/A</w:t>
      </w:r>
      <w:r w:rsidR="00611B6B">
        <w:t xml:space="preserve"> were</w:t>
      </w:r>
      <w:r w:rsidR="00103049">
        <w:t xml:space="preserve"> in favor</w:t>
      </w:r>
      <w:r w:rsidR="00611B6B">
        <w:t xml:space="preserve">. </w:t>
      </w:r>
      <w:r>
        <w:t xml:space="preserve">N/A </w:t>
      </w:r>
      <w:r w:rsidR="00611B6B">
        <w:t xml:space="preserve">opposed. </w:t>
      </w:r>
      <w:r w:rsidR="00103049">
        <w:t xml:space="preserve">Treasurer’s report was </w:t>
      </w:r>
      <w:r>
        <w:t xml:space="preserve">not </w:t>
      </w:r>
      <w:r w:rsidR="00103049">
        <w:t>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E11160" w:rsidP="009B684C">
      <w:pPr>
        <w:pStyle w:val="ListParagraph"/>
        <w:numPr>
          <w:ilvl w:val="0"/>
          <w:numId w:val="11"/>
        </w:numPr>
        <w:ind w:left="720"/>
      </w:pPr>
      <w:r>
        <w:t>Proposed buys for the month</w:t>
      </w:r>
      <w:r w:rsidR="00E81F7A">
        <w:t>:</w:t>
      </w:r>
      <w:r w:rsidR="00A7643F">
        <w:t xml:space="preserve"> </w:t>
      </w:r>
    </w:p>
    <w:p w:rsidR="00AB1D98" w:rsidRDefault="00AB1D98">
      <w:pPr>
        <w:rPr>
          <w:noProof/>
        </w:rPr>
      </w:pPr>
      <w:r>
        <w:rPr>
          <w:noProof/>
        </w:rPr>
        <w:br w:type="page"/>
      </w:r>
    </w:p>
    <w:p w:rsidR="00743980" w:rsidRDefault="00743980" w:rsidP="00743980"/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9C6E04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9C6E04" w:rsidP="007549B2">
            <w:r>
              <w:t>5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9C6E04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9C6E04" w:rsidP="007549B2">
            <w:r>
              <w:t>1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9C6E04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9C6E04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9C6E04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9C6E04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  <w:r w:rsidR="00A7643F">
        <w:t xml:space="preserve"> </w:t>
      </w:r>
      <w:r w:rsidR="00D84BF7">
        <w:t xml:space="preserve">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EF4FD5" w:rsidP="00AF419B">
            <w:r>
              <w:t>3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EF4FD5" w:rsidP="00AF419B">
            <w:r>
              <w:t>6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EF4FD5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EF4FD5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EF4FD5" w:rsidP="00AF419B">
            <w:r>
              <w:t>1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EF4FD5" w:rsidP="00AF419B">
            <w:r>
              <w:t>4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9676D7">
        <w:trPr>
          <w:trHeight w:val="377"/>
        </w:trPr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EF4FD5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402710" w:rsidP="00AF419B">
            <w:r>
              <w:t>3</w:t>
            </w:r>
          </w:p>
        </w:tc>
        <w:tc>
          <w:tcPr>
            <w:tcW w:w="990" w:type="dxa"/>
          </w:tcPr>
          <w:p w:rsidR="00B076F3" w:rsidRDefault="00B076F3" w:rsidP="00AF419B"/>
        </w:tc>
      </w:tr>
    </w:tbl>
    <w:p w:rsidR="007A0A40" w:rsidRDefault="007A0A40" w:rsidP="007A0A40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Al motioned and </w:t>
      </w:r>
      <w:r w:rsidR="00B96B87">
        <w:t>Morresa</w:t>
      </w:r>
      <w:r w:rsidR="00B96B87">
        <w:rPr>
          <w:rFonts w:cstheme="minorHAnsi"/>
        </w:rPr>
        <w:t xml:space="preserve"> </w:t>
      </w:r>
      <w:r>
        <w:rPr>
          <w:rFonts w:cstheme="minorHAnsi"/>
        </w:rPr>
        <w:t>seconded the buys</w:t>
      </w:r>
      <w:r w:rsidR="00322B0B">
        <w:rPr>
          <w:rFonts w:cstheme="minorHAnsi"/>
        </w:rPr>
        <w:t xml:space="preserve"> in case this was needed.   Don’t think this has been done </w:t>
      </w:r>
      <w:r w:rsidR="00D00287">
        <w:rPr>
          <w:rFonts w:cstheme="minorHAnsi"/>
        </w:rPr>
        <w:t>in</w:t>
      </w:r>
      <w:r w:rsidR="00322B0B">
        <w:rPr>
          <w:rFonts w:cstheme="minorHAnsi"/>
        </w:rPr>
        <w:t xml:space="preserve"> the past.  </w:t>
      </w:r>
    </w:p>
    <w:p w:rsidR="009B684C" w:rsidRPr="001C5F29" w:rsidRDefault="000E3E63" w:rsidP="007A0A40">
      <w:pPr>
        <w:pStyle w:val="ListParagraph"/>
        <w:ind w:left="360"/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4E35E9" w:rsidRDefault="00E96617" w:rsidP="00E63004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Expense</w:t>
      </w:r>
      <w:r w:rsidR="009B154C">
        <w:rPr>
          <w:rFonts w:cstheme="minorHAnsi"/>
        </w:rPr>
        <w:t xml:space="preserve"> </w:t>
      </w:r>
      <w:r w:rsidR="00AB1D98">
        <w:rPr>
          <w:rFonts w:cstheme="minorHAnsi"/>
        </w:rPr>
        <w:t xml:space="preserve">discussed at August meeting was not applied to member accounts.    Bhavin’s reimbursement was received into Comerica for $71.06.   </w:t>
      </w:r>
      <w:r w:rsidR="00591210">
        <w:rPr>
          <w:rFonts w:cstheme="minorHAnsi"/>
        </w:rPr>
        <w:t xml:space="preserve">Need to contact Bivio support  for details on how to apply.  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260F0C" w:rsidRPr="00D620F7" w:rsidRDefault="009C6E04" w:rsidP="00260F0C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Resolution raised that this </w:t>
      </w:r>
      <w:r w:rsidR="00065521">
        <w:rPr>
          <w:rFonts w:cstheme="minorHAnsi"/>
        </w:rPr>
        <w:t>October</w:t>
      </w:r>
      <w:r w:rsidR="00AB1D98">
        <w:rPr>
          <w:rFonts w:cstheme="minorHAnsi"/>
        </w:rPr>
        <w:t xml:space="preserve"> will </w:t>
      </w:r>
      <w:r>
        <w:rPr>
          <w:rFonts w:cstheme="minorHAnsi"/>
        </w:rPr>
        <w:t xml:space="preserve">be the last month that we will accept </w:t>
      </w:r>
      <w:r w:rsidR="00AB1D98">
        <w:rPr>
          <w:rFonts w:cstheme="minorHAnsi"/>
        </w:rPr>
        <w:t xml:space="preserve">member </w:t>
      </w:r>
      <w:r>
        <w:rPr>
          <w:rFonts w:cstheme="minorHAnsi"/>
        </w:rPr>
        <w:t>deposits to the Comerica account and that it will subsequently be closed following the October 19</w:t>
      </w:r>
      <w:r w:rsidRPr="009C6E0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meeting;  Any  remaining funds will be deposited to DFCU</w:t>
      </w:r>
      <w:r w:rsidR="00AB1D98">
        <w:rPr>
          <w:rFonts w:cstheme="minorHAnsi"/>
        </w:rPr>
        <w:t xml:space="preserve"> after the account is closed by the members(s) on record there</w:t>
      </w:r>
      <w:r>
        <w:rPr>
          <w:rFonts w:cstheme="minorHAnsi"/>
        </w:rPr>
        <w:t xml:space="preserve">.   The one remaining member still using Comerica </w:t>
      </w:r>
      <w:r w:rsidR="00AB1D98">
        <w:rPr>
          <w:rFonts w:cstheme="minorHAnsi"/>
        </w:rPr>
        <w:t xml:space="preserve">for deposits </w:t>
      </w:r>
      <w:r>
        <w:rPr>
          <w:rFonts w:cstheme="minorHAnsi"/>
        </w:rPr>
        <w:t xml:space="preserve">will attempt to be contacted one last time so that they can switch their deposits to DFCU.   </w:t>
      </w:r>
      <w:r w:rsidR="00260F0C">
        <w:rPr>
          <w:rFonts w:cstheme="minorHAnsi"/>
        </w:rPr>
        <w:t xml:space="preserve">  Al motioned to accept th</w:t>
      </w:r>
      <w:r w:rsidR="00AB1D98">
        <w:rPr>
          <w:rFonts w:cstheme="minorHAnsi"/>
        </w:rPr>
        <w:t xml:space="preserve">is proposal and </w:t>
      </w:r>
      <w:r w:rsidR="00260F0C">
        <w:rPr>
          <w:rFonts w:cstheme="minorHAnsi"/>
        </w:rPr>
        <w:t xml:space="preserve">Gerald seconded. </w:t>
      </w:r>
      <w:r w:rsidR="00AB1D98">
        <w:rPr>
          <w:rFonts w:cstheme="minorHAnsi"/>
        </w:rPr>
        <w:t xml:space="preserve">  </w:t>
      </w:r>
      <w:r w:rsidR="00260F0C">
        <w:rPr>
          <w:rFonts w:cstheme="minorHAnsi"/>
        </w:rPr>
        <w:t>All were in favor.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065521">
        <w:rPr>
          <w:rFonts w:cstheme="minorHAnsi"/>
        </w:rPr>
        <w:t xml:space="preserve"> </w:t>
      </w:r>
      <w:r w:rsidR="00E96617">
        <w:rPr>
          <w:rFonts w:cstheme="minorHAnsi"/>
        </w:rPr>
        <w:t>3</w:t>
      </w:r>
      <w:r w:rsidR="00260F0C">
        <w:rPr>
          <w:rFonts w:cstheme="minorHAnsi"/>
        </w:rPr>
        <w:t>0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Default="00E96617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Carolyn Collins</w:t>
      </w:r>
      <w:r w:rsidR="00905A0F">
        <w:rPr>
          <w:rFonts w:cstheme="minorHAnsi"/>
        </w:rPr>
        <w:t xml:space="preserve"> in lieu of </w:t>
      </w:r>
      <w:r w:rsidR="00830DAE">
        <w:rPr>
          <w:rFonts w:cstheme="minorHAnsi"/>
        </w:rPr>
        <w:t>Marina Gaikazian</w:t>
      </w:r>
    </w:p>
    <w:p w:rsidR="00905A0F" w:rsidRPr="00286A3F" w:rsidRDefault="00905A0F" w:rsidP="002F26C6">
      <w:pPr>
        <w:spacing w:after="0" w:line="240" w:lineRule="auto"/>
        <w:rPr>
          <w:rFonts w:cstheme="minorHAnsi"/>
        </w:rPr>
      </w:pPr>
    </w:p>
    <w:sectPr w:rsidR="00905A0F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1C" w:rsidRDefault="00655B1C" w:rsidP="008264B1">
      <w:pPr>
        <w:spacing w:after="0" w:line="240" w:lineRule="auto"/>
      </w:pPr>
      <w:r>
        <w:separator/>
      </w:r>
    </w:p>
  </w:endnote>
  <w:endnote w:type="continuationSeparator" w:id="0">
    <w:p w:rsidR="00655B1C" w:rsidRDefault="00655B1C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B717A9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1C" w:rsidRDefault="00655B1C" w:rsidP="008264B1">
      <w:pPr>
        <w:spacing w:after="0" w:line="240" w:lineRule="auto"/>
      </w:pPr>
      <w:r>
        <w:separator/>
      </w:r>
    </w:p>
  </w:footnote>
  <w:footnote w:type="continuationSeparator" w:id="0">
    <w:p w:rsidR="00655B1C" w:rsidRDefault="00655B1C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26F7"/>
    <w:rsid w:val="00065521"/>
    <w:rsid w:val="00082375"/>
    <w:rsid w:val="000830A0"/>
    <w:rsid w:val="00085979"/>
    <w:rsid w:val="000869D1"/>
    <w:rsid w:val="00087035"/>
    <w:rsid w:val="00090256"/>
    <w:rsid w:val="00092F19"/>
    <w:rsid w:val="000A3B37"/>
    <w:rsid w:val="000C7559"/>
    <w:rsid w:val="000E3E63"/>
    <w:rsid w:val="000F7D14"/>
    <w:rsid w:val="00100916"/>
    <w:rsid w:val="00103049"/>
    <w:rsid w:val="00132757"/>
    <w:rsid w:val="00132F39"/>
    <w:rsid w:val="00134E31"/>
    <w:rsid w:val="00163669"/>
    <w:rsid w:val="00163B87"/>
    <w:rsid w:val="001665CC"/>
    <w:rsid w:val="00181BD9"/>
    <w:rsid w:val="00185671"/>
    <w:rsid w:val="00187D4E"/>
    <w:rsid w:val="001A0CAE"/>
    <w:rsid w:val="001C082D"/>
    <w:rsid w:val="001C5F29"/>
    <w:rsid w:val="001D0946"/>
    <w:rsid w:val="001D2B62"/>
    <w:rsid w:val="001E0E5B"/>
    <w:rsid w:val="001E1783"/>
    <w:rsid w:val="001E4BB0"/>
    <w:rsid w:val="001F268C"/>
    <w:rsid w:val="001F456A"/>
    <w:rsid w:val="002049A2"/>
    <w:rsid w:val="002066FB"/>
    <w:rsid w:val="00216959"/>
    <w:rsid w:val="00257144"/>
    <w:rsid w:val="00260F0C"/>
    <w:rsid w:val="00276227"/>
    <w:rsid w:val="00286A3F"/>
    <w:rsid w:val="002878B5"/>
    <w:rsid w:val="00293608"/>
    <w:rsid w:val="002C3F15"/>
    <w:rsid w:val="002D7811"/>
    <w:rsid w:val="002E2762"/>
    <w:rsid w:val="002E66C2"/>
    <w:rsid w:val="002F26C6"/>
    <w:rsid w:val="002F335C"/>
    <w:rsid w:val="002F6477"/>
    <w:rsid w:val="003039F0"/>
    <w:rsid w:val="0031188A"/>
    <w:rsid w:val="00322B0B"/>
    <w:rsid w:val="00344A03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F10B6"/>
    <w:rsid w:val="003F2A01"/>
    <w:rsid w:val="003F4941"/>
    <w:rsid w:val="00402710"/>
    <w:rsid w:val="00402713"/>
    <w:rsid w:val="004175BA"/>
    <w:rsid w:val="00425D23"/>
    <w:rsid w:val="00426043"/>
    <w:rsid w:val="0044216A"/>
    <w:rsid w:val="00446575"/>
    <w:rsid w:val="004539AB"/>
    <w:rsid w:val="00455FBA"/>
    <w:rsid w:val="0045773E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66CC"/>
    <w:rsid w:val="004C0DE4"/>
    <w:rsid w:val="004D23B5"/>
    <w:rsid w:val="004E35E9"/>
    <w:rsid w:val="004E78A5"/>
    <w:rsid w:val="00503F9F"/>
    <w:rsid w:val="005156AE"/>
    <w:rsid w:val="005239A5"/>
    <w:rsid w:val="00534267"/>
    <w:rsid w:val="00536A6C"/>
    <w:rsid w:val="00537CAA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5B35"/>
    <w:rsid w:val="005F24DD"/>
    <w:rsid w:val="006107B0"/>
    <w:rsid w:val="00611B6B"/>
    <w:rsid w:val="00621FC8"/>
    <w:rsid w:val="00625977"/>
    <w:rsid w:val="00654AD4"/>
    <w:rsid w:val="00655B1C"/>
    <w:rsid w:val="0067393F"/>
    <w:rsid w:val="00681F70"/>
    <w:rsid w:val="006B1634"/>
    <w:rsid w:val="006F4677"/>
    <w:rsid w:val="006F6435"/>
    <w:rsid w:val="00711DDB"/>
    <w:rsid w:val="0072359F"/>
    <w:rsid w:val="00743980"/>
    <w:rsid w:val="00747BD0"/>
    <w:rsid w:val="00751389"/>
    <w:rsid w:val="007549B2"/>
    <w:rsid w:val="00755BC8"/>
    <w:rsid w:val="00756B3B"/>
    <w:rsid w:val="00760B9A"/>
    <w:rsid w:val="00770A8C"/>
    <w:rsid w:val="0077483A"/>
    <w:rsid w:val="00775F84"/>
    <w:rsid w:val="00781CB4"/>
    <w:rsid w:val="007840E9"/>
    <w:rsid w:val="00786B92"/>
    <w:rsid w:val="007A0A40"/>
    <w:rsid w:val="007A1B48"/>
    <w:rsid w:val="007B23A6"/>
    <w:rsid w:val="007C08BD"/>
    <w:rsid w:val="007D029B"/>
    <w:rsid w:val="007F313D"/>
    <w:rsid w:val="007F3EC4"/>
    <w:rsid w:val="007F73ED"/>
    <w:rsid w:val="0081389B"/>
    <w:rsid w:val="00820F31"/>
    <w:rsid w:val="0082544A"/>
    <w:rsid w:val="008264B1"/>
    <w:rsid w:val="00830DAE"/>
    <w:rsid w:val="00841055"/>
    <w:rsid w:val="008537C4"/>
    <w:rsid w:val="0087135D"/>
    <w:rsid w:val="008A6954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676D7"/>
    <w:rsid w:val="009776AB"/>
    <w:rsid w:val="009943F5"/>
    <w:rsid w:val="00994F49"/>
    <w:rsid w:val="009A785F"/>
    <w:rsid w:val="009B154C"/>
    <w:rsid w:val="009B390F"/>
    <w:rsid w:val="009B684C"/>
    <w:rsid w:val="009B6E7F"/>
    <w:rsid w:val="009C6E04"/>
    <w:rsid w:val="009D1BD6"/>
    <w:rsid w:val="009D2710"/>
    <w:rsid w:val="009F4BD0"/>
    <w:rsid w:val="009F5ECB"/>
    <w:rsid w:val="00A210A0"/>
    <w:rsid w:val="00A25826"/>
    <w:rsid w:val="00A37656"/>
    <w:rsid w:val="00A416FB"/>
    <w:rsid w:val="00A41998"/>
    <w:rsid w:val="00A512CB"/>
    <w:rsid w:val="00A52053"/>
    <w:rsid w:val="00A5527F"/>
    <w:rsid w:val="00A62BD5"/>
    <w:rsid w:val="00A706E0"/>
    <w:rsid w:val="00A74489"/>
    <w:rsid w:val="00A7643F"/>
    <w:rsid w:val="00A92608"/>
    <w:rsid w:val="00AA0F2F"/>
    <w:rsid w:val="00AA4635"/>
    <w:rsid w:val="00AB1D98"/>
    <w:rsid w:val="00AB36D9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3FB2"/>
    <w:rsid w:val="00B311D8"/>
    <w:rsid w:val="00B36BE3"/>
    <w:rsid w:val="00B470C0"/>
    <w:rsid w:val="00B603E5"/>
    <w:rsid w:val="00B63C3C"/>
    <w:rsid w:val="00B717A9"/>
    <w:rsid w:val="00B803C6"/>
    <w:rsid w:val="00B81D67"/>
    <w:rsid w:val="00B8485C"/>
    <w:rsid w:val="00B96B87"/>
    <w:rsid w:val="00BE6956"/>
    <w:rsid w:val="00BE6BD6"/>
    <w:rsid w:val="00BF157A"/>
    <w:rsid w:val="00C05DD6"/>
    <w:rsid w:val="00C07B57"/>
    <w:rsid w:val="00C111C6"/>
    <w:rsid w:val="00C12DD6"/>
    <w:rsid w:val="00C3101B"/>
    <w:rsid w:val="00C54E4C"/>
    <w:rsid w:val="00C6083E"/>
    <w:rsid w:val="00C65344"/>
    <w:rsid w:val="00C830B4"/>
    <w:rsid w:val="00C85B7B"/>
    <w:rsid w:val="00CB189E"/>
    <w:rsid w:val="00CB6AD7"/>
    <w:rsid w:val="00CC0DD0"/>
    <w:rsid w:val="00CC1412"/>
    <w:rsid w:val="00CC279A"/>
    <w:rsid w:val="00CE1638"/>
    <w:rsid w:val="00CE1823"/>
    <w:rsid w:val="00CE3D75"/>
    <w:rsid w:val="00CF2F1C"/>
    <w:rsid w:val="00D00287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84BF7"/>
    <w:rsid w:val="00D92A32"/>
    <w:rsid w:val="00DD3B86"/>
    <w:rsid w:val="00DE0B6E"/>
    <w:rsid w:val="00DF7969"/>
    <w:rsid w:val="00E11160"/>
    <w:rsid w:val="00E33AA0"/>
    <w:rsid w:val="00E3694C"/>
    <w:rsid w:val="00E451D8"/>
    <w:rsid w:val="00E606D0"/>
    <w:rsid w:val="00E63004"/>
    <w:rsid w:val="00E6529F"/>
    <w:rsid w:val="00E6587F"/>
    <w:rsid w:val="00E81F7A"/>
    <w:rsid w:val="00E96617"/>
    <w:rsid w:val="00EA0D61"/>
    <w:rsid w:val="00EA704F"/>
    <w:rsid w:val="00EB6D0F"/>
    <w:rsid w:val="00EC0007"/>
    <w:rsid w:val="00EC26B1"/>
    <w:rsid w:val="00ED5DD9"/>
    <w:rsid w:val="00ED7C7D"/>
    <w:rsid w:val="00EE68AA"/>
    <w:rsid w:val="00EF0330"/>
    <w:rsid w:val="00EF4FD5"/>
    <w:rsid w:val="00F12026"/>
    <w:rsid w:val="00F20E33"/>
    <w:rsid w:val="00F2307F"/>
    <w:rsid w:val="00F3732B"/>
    <w:rsid w:val="00F37959"/>
    <w:rsid w:val="00F477AD"/>
    <w:rsid w:val="00F7565F"/>
    <w:rsid w:val="00F7589F"/>
    <w:rsid w:val="00F82A88"/>
    <w:rsid w:val="00FB4344"/>
    <w:rsid w:val="00FB5710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6423-890E-4701-B664-31D3F837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Collins, Carolyn (C.)</cp:lastModifiedBy>
  <cp:revision>29</cp:revision>
  <cp:lastPrinted>2016-10-13T19:10:00Z</cp:lastPrinted>
  <dcterms:created xsi:type="dcterms:W3CDTF">2016-09-21T13:35:00Z</dcterms:created>
  <dcterms:modified xsi:type="dcterms:W3CDTF">2016-10-19T15:11:00Z</dcterms:modified>
</cp:coreProperties>
</file>