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46CD0" w14:textId="77777777" w:rsidR="00586211" w:rsidRPr="00586211" w:rsidRDefault="00586211">
      <w:pPr>
        <w:spacing w:after="119" w:line="259" w:lineRule="auto"/>
        <w:ind w:left="253" w:right="0" w:firstLine="0"/>
        <w:jc w:val="center"/>
        <w:rPr>
          <w:b/>
          <w:i/>
          <w:sz w:val="32"/>
          <w:szCs w:val="24"/>
        </w:rPr>
      </w:pPr>
      <w:r w:rsidRPr="00586211">
        <w:rPr>
          <w:b/>
          <w:i/>
          <w:sz w:val="32"/>
          <w:szCs w:val="24"/>
        </w:rPr>
        <w:t>The Passive Club</w:t>
      </w:r>
    </w:p>
    <w:p w14:paraId="5FAB61BE" w14:textId="5FDED010" w:rsidR="00BD315C" w:rsidRPr="00586211" w:rsidRDefault="00586211">
      <w:pPr>
        <w:spacing w:after="119" w:line="259" w:lineRule="auto"/>
        <w:ind w:left="253" w:right="0" w:firstLine="0"/>
        <w:jc w:val="center"/>
        <w:rPr>
          <w:bCs/>
        </w:rPr>
      </w:pPr>
      <w:r w:rsidRPr="00586211">
        <w:rPr>
          <w:bCs/>
          <w:i/>
          <w:sz w:val="28"/>
        </w:rPr>
        <w:t>Investment Strategy &amp; Organizing Principles</w:t>
      </w:r>
    </w:p>
    <w:p w14:paraId="4CD1A6A4" w14:textId="77777777" w:rsidR="00BD315C" w:rsidRDefault="00586211">
      <w:pPr>
        <w:spacing w:after="58" w:line="259" w:lineRule="auto"/>
        <w:ind w:left="0" w:right="0" w:firstLine="0"/>
      </w:pPr>
      <w:r>
        <w:t xml:space="preserve">   </w:t>
      </w:r>
    </w:p>
    <w:p w14:paraId="21F2BBA5" w14:textId="77777777" w:rsidR="00BD315C" w:rsidRDefault="00586211">
      <w:pPr>
        <w:pStyle w:val="Heading1"/>
        <w:ind w:left="676" w:hanging="360"/>
      </w:pPr>
      <w:r>
        <w:t xml:space="preserve">Asset Classes and Allocations   </w:t>
      </w:r>
    </w:p>
    <w:p w14:paraId="78156927" w14:textId="77777777" w:rsidR="00BD315C" w:rsidRDefault="00586211">
      <w:pPr>
        <w:spacing w:after="3" w:line="259" w:lineRule="auto"/>
        <w:ind w:left="360" w:right="0" w:firstLine="0"/>
      </w:pPr>
      <w:r>
        <w:rPr>
          <w:b/>
        </w:rPr>
        <w:t xml:space="preserve"> </w:t>
      </w:r>
      <w:r>
        <w:t xml:space="preserve">  </w:t>
      </w:r>
    </w:p>
    <w:p w14:paraId="11CF75BE" w14:textId="37D2E61B" w:rsidR="00290531" w:rsidRDefault="00586211">
      <w:pPr>
        <w:ind w:left="705" w:hanging="720"/>
      </w:pPr>
      <w:r>
        <w:rPr>
          <w:rFonts w:ascii="Calibri" w:eastAsia="Calibri" w:hAnsi="Calibri" w:cs="Calibri"/>
          <w:sz w:val="22"/>
        </w:rPr>
        <w:t xml:space="preserve">  </w:t>
      </w:r>
      <w:r>
        <w:rPr>
          <w:rFonts w:ascii="Calibri" w:eastAsia="Calibri" w:hAnsi="Calibri" w:cs="Calibri"/>
          <w:sz w:val="22"/>
        </w:rPr>
        <w:tab/>
      </w:r>
      <w:r>
        <w:rPr>
          <w:u w:val="single" w:color="000000"/>
        </w:rPr>
        <w:t>Class</w:t>
      </w:r>
      <w:r>
        <w:rPr>
          <w:b/>
        </w:rPr>
        <w:t xml:space="preserve">      </w:t>
      </w:r>
      <w:r>
        <w:rPr>
          <w:b/>
        </w:rPr>
        <w:tab/>
        <w:t xml:space="preserve">   </w:t>
      </w:r>
      <w:r>
        <w:rPr>
          <w:b/>
        </w:rPr>
        <w:tab/>
        <w:t xml:space="preserve">         </w:t>
      </w:r>
      <w:r>
        <w:rPr>
          <w:b/>
        </w:rPr>
        <w:tab/>
        <w:t xml:space="preserve"> </w:t>
      </w:r>
      <w:r>
        <w:rPr>
          <w:b/>
        </w:rPr>
        <w:tab/>
      </w:r>
      <w:r w:rsidR="00762A87">
        <w:rPr>
          <w:b/>
        </w:rPr>
        <w:t xml:space="preserve">        </w:t>
      </w:r>
      <w:r>
        <w:rPr>
          <w:u w:val="single" w:color="000000"/>
        </w:rPr>
        <w:t>Allocation</w:t>
      </w:r>
      <w:r>
        <w:rPr>
          <w:b/>
        </w:rPr>
        <w:t xml:space="preserve">    </w:t>
      </w:r>
      <w:r>
        <w:rPr>
          <w:b/>
        </w:rPr>
        <w:tab/>
        <w:t xml:space="preserve">   </w:t>
      </w:r>
      <w:r>
        <w:rPr>
          <w:b/>
        </w:rPr>
        <w:t xml:space="preserve">   </w:t>
      </w:r>
      <w:r>
        <w:rPr>
          <w:b/>
        </w:rPr>
        <w:tab/>
      </w:r>
      <w:r w:rsidR="00290531">
        <w:rPr>
          <w:b/>
        </w:rPr>
        <w:tab/>
      </w:r>
      <w:r>
        <w:rPr>
          <w:u w:val="single" w:color="000000"/>
        </w:rPr>
        <w:t>ETF</w:t>
      </w:r>
    </w:p>
    <w:p w14:paraId="686FF08E" w14:textId="5F7D4034" w:rsidR="00BD315C" w:rsidRDefault="00586211" w:rsidP="00290531">
      <w:pPr>
        <w:ind w:left="705" w:firstLine="0"/>
      </w:pPr>
      <w:r>
        <w:t>Large Blend – Dividend</w:t>
      </w:r>
      <w:r w:rsidR="00762A87">
        <w:rPr>
          <w:b/>
        </w:rPr>
        <w:tab/>
      </w:r>
      <w:r w:rsidR="00762A87">
        <w:rPr>
          <w:b/>
        </w:rPr>
        <w:tab/>
      </w:r>
      <w:r w:rsidR="00762A87">
        <w:rPr>
          <w:b/>
        </w:rPr>
        <w:tab/>
      </w:r>
      <w:r>
        <w:t>1</w:t>
      </w:r>
      <w:r w:rsidR="00762A87">
        <w:t>0</w:t>
      </w:r>
      <w:r>
        <w:t xml:space="preserve">%   </w:t>
      </w:r>
      <w:r>
        <w:tab/>
        <w:t xml:space="preserve">   </w:t>
      </w:r>
      <w:r>
        <w:tab/>
        <w:t xml:space="preserve">   </w:t>
      </w:r>
      <w:r>
        <w:tab/>
        <w:t xml:space="preserve">   </w:t>
      </w:r>
      <w:r>
        <w:tab/>
        <w:t xml:space="preserve">VIG   </w:t>
      </w:r>
    </w:p>
    <w:p w14:paraId="296C6D4D" w14:textId="1AB4F9C5" w:rsidR="00BD315C" w:rsidRDefault="00290531" w:rsidP="00290531">
      <w:pPr>
        <w:tabs>
          <w:tab w:val="center" w:pos="1216"/>
          <w:tab w:val="center" w:pos="2160"/>
          <w:tab w:val="center" w:pos="3791"/>
          <w:tab w:val="center" w:pos="5041"/>
          <w:tab w:val="center" w:pos="5761"/>
          <w:tab w:val="center" w:pos="6481"/>
          <w:tab w:val="center" w:pos="7368"/>
        </w:tabs>
        <w:ind w:right="0"/>
      </w:pPr>
      <w:r>
        <w:rPr>
          <w:rFonts w:ascii="Calibri" w:eastAsia="Calibri" w:hAnsi="Calibri" w:cs="Calibri"/>
          <w:sz w:val="22"/>
        </w:rPr>
        <w:tab/>
      </w:r>
      <w:r>
        <w:rPr>
          <w:rFonts w:ascii="Calibri" w:eastAsia="Calibri" w:hAnsi="Calibri" w:cs="Calibri"/>
          <w:sz w:val="22"/>
        </w:rPr>
        <w:tab/>
      </w:r>
      <w:r w:rsidR="00586211">
        <w:t>Large Blend</w:t>
      </w:r>
      <w:r>
        <w:rPr>
          <w:b/>
        </w:rPr>
        <w:t xml:space="preserve"> </w:t>
      </w:r>
      <w:r>
        <w:rPr>
          <w:b/>
        </w:rPr>
        <w:tab/>
      </w:r>
      <w:r>
        <w:rPr>
          <w:b/>
        </w:rPr>
        <w:tab/>
      </w:r>
      <w:r w:rsidRPr="00762A87">
        <w:rPr>
          <w:bCs/>
        </w:rPr>
        <w:t xml:space="preserve">                           </w:t>
      </w:r>
      <w:r w:rsidR="00762A87" w:rsidRPr="00762A87">
        <w:rPr>
          <w:bCs/>
        </w:rPr>
        <w:t xml:space="preserve"> 10</w:t>
      </w:r>
      <w:r w:rsidR="00586211" w:rsidRPr="00762A87">
        <w:rPr>
          <w:bCs/>
        </w:rPr>
        <w:t xml:space="preserve">%   </w:t>
      </w:r>
      <w:r w:rsidR="00586211" w:rsidRPr="00762A87">
        <w:rPr>
          <w:bCs/>
        </w:rPr>
        <w:tab/>
      </w:r>
      <w:r w:rsidR="00586211">
        <w:t xml:space="preserve">   </w:t>
      </w:r>
      <w:r w:rsidR="00586211">
        <w:tab/>
        <w:t xml:space="preserve">   </w:t>
      </w:r>
      <w:r w:rsidR="00586211">
        <w:tab/>
        <w:t xml:space="preserve">  </w:t>
      </w:r>
      <w:r>
        <w:t xml:space="preserve">     </w:t>
      </w:r>
      <w:r>
        <w:tab/>
      </w:r>
      <w:r w:rsidR="00586211">
        <w:t xml:space="preserve">VTI   </w:t>
      </w:r>
    </w:p>
    <w:p w14:paraId="0A16D26B" w14:textId="49393367" w:rsidR="00290531" w:rsidRDefault="00586211">
      <w:pPr>
        <w:ind w:left="-5" w:right="1061"/>
      </w:pPr>
      <w:r>
        <w:rPr>
          <w:rFonts w:ascii="Calibri" w:eastAsia="Calibri" w:hAnsi="Calibri" w:cs="Calibri"/>
          <w:sz w:val="22"/>
        </w:rPr>
        <w:t xml:space="preserve"> </w:t>
      </w:r>
      <w:r w:rsidR="00290531">
        <w:rPr>
          <w:rFonts w:ascii="Calibri" w:eastAsia="Calibri" w:hAnsi="Calibri" w:cs="Calibri"/>
          <w:sz w:val="22"/>
        </w:rPr>
        <w:tab/>
      </w:r>
      <w:r>
        <w:t>Mid Cap Growth</w:t>
      </w:r>
      <w:r>
        <w:rPr>
          <w:b/>
        </w:rPr>
        <w:t xml:space="preserve">       </w:t>
      </w:r>
      <w:r w:rsidR="00290531">
        <w:rPr>
          <w:b/>
        </w:rPr>
        <w:tab/>
      </w:r>
      <w:r w:rsidR="00290531">
        <w:rPr>
          <w:b/>
        </w:rPr>
        <w:tab/>
      </w:r>
      <w:r w:rsidR="00290531">
        <w:rPr>
          <w:b/>
        </w:rPr>
        <w:tab/>
      </w:r>
      <w:r w:rsidR="00762A87">
        <w:t>20</w:t>
      </w:r>
      <w:r>
        <w:t>%</w:t>
      </w:r>
      <w:r>
        <w:rPr>
          <w:b/>
        </w:rPr>
        <w:t xml:space="preserve">           </w:t>
      </w:r>
      <w:r w:rsidR="00290531">
        <w:rPr>
          <w:b/>
        </w:rPr>
        <w:tab/>
      </w:r>
      <w:r w:rsidR="00290531">
        <w:rPr>
          <w:b/>
        </w:rPr>
        <w:tab/>
      </w:r>
      <w:r w:rsidR="00290531">
        <w:rPr>
          <w:b/>
        </w:rPr>
        <w:tab/>
      </w:r>
      <w:r>
        <w:t>VOT</w:t>
      </w:r>
    </w:p>
    <w:p w14:paraId="3FA9E429" w14:textId="45D16FED" w:rsidR="00BD315C" w:rsidRDefault="00586211" w:rsidP="00290531">
      <w:pPr>
        <w:ind w:left="-5" w:right="1061" w:firstLine="725"/>
      </w:pPr>
      <w:r>
        <w:t xml:space="preserve">Mid Cap Value           </w:t>
      </w:r>
      <w:r w:rsidR="00290531">
        <w:tab/>
      </w:r>
      <w:r w:rsidR="00290531">
        <w:tab/>
      </w:r>
      <w:r w:rsidR="00290531">
        <w:tab/>
      </w:r>
      <w:r w:rsidR="00762A87">
        <w:t>8.5</w:t>
      </w:r>
      <w:r>
        <w:t xml:space="preserve">%           </w:t>
      </w:r>
      <w:r w:rsidR="00290531">
        <w:tab/>
      </w:r>
      <w:r w:rsidR="00290531">
        <w:tab/>
      </w:r>
      <w:r w:rsidR="00290531">
        <w:tab/>
      </w:r>
      <w:r>
        <w:t xml:space="preserve">VOE  </w:t>
      </w:r>
    </w:p>
    <w:p w14:paraId="73A2D3C8" w14:textId="636142AC" w:rsidR="00BD315C" w:rsidRDefault="00586211">
      <w:pPr>
        <w:tabs>
          <w:tab w:val="center" w:pos="1469"/>
          <w:tab w:val="center" w:pos="2881"/>
          <w:tab w:val="center" w:pos="3601"/>
          <w:tab w:val="center" w:pos="4507"/>
          <w:tab w:val="center" w:pos="5761"/>
          <w:tab w:val="center" w:pos="7042"/>
        </w:tabs>
        <w:ind w:left="-15" w:right="0" w:firstLine="0"/>
      </w:pPr>
      <w:r>
        <w:rPr>
          <w:rFonts w:ascii="Calibri" w:eastAsia="Calibri" w:hAnsi="Calibri" w:cs="Calibri"/>
          <w:sz w:val="22"/>
        </w:rPr>
        <w:t xml:space="preserve"> </w:t>
      </w:r>
      <w:r>
        <w:rPr>
          <w:rFonts w:ascii="Calibri" w:eastAsia="Calibri" w:hAnsi="Calibri" w:cs="Calibri"/>
          <w:sz w:val="22"/>
        </w:rPr>
        <w:tab/>
      </w:r>
      <w:r>
        <w:t>Small Cap Growth</w:t>
      </w:r>
      <w:r>
        <w:rPr>
          <w:b/>
        </w:rPr>
        <w:t xml:space="preserve">       </w:t>
      </w:r>
      <w:proofErr w:type="gramStart"/>
      <w:r>
        <w:rPr>
          <w:b/>
        </w:rPr>
        <w:tab/>
        <w:t xml:space="preserve">  </w:t>
      </w:r>
      <w:r>
        <w:rPr>
          <w:b/>
        </w:rPr>
        <w:tab/>
      </w:r>
      <w:proofErr w:type="gramEnd"/>
      <w:r>
        <w:rPr>
          <w:b/>
        </w:rPr>
        <w:t xml:space="preserve">  </w:t>
      </w:r>
      <w:r w:rsidR="00762A87">
        <w:rPr>
          <w:b/>
        </w:rPr>
        <w:tab/>
      </w:r>
      <w:r>
        <w:t>1</w:t>
      </w:r>
      <w:r w:rsidR="00762A87">
        <w:t>7</w:t>
      </w:r>
      <w:r>
        <w:t>%</w:t>
      </w:r>
      <w:r>
        <w:rPr>
          <w:b/>
        </w:rPr>
        <w:t xml:space="preserve">       </w:t>
      </w:r>
      <w:r>
        <w:rPr>
          <w:b/>
        </w:rPr>
        <w:tab/>
        <w:t xml:space="preserve">  </w:t>
      </w:r>
      <w:r>
        <w:rPr>
          <w:b/>
        </w:rPr>
        <w:tab/>
      </w:r>
      <w:r>
        <w:t xml:space="preserve">              VBK</w:t>
      </w:r>
      <w:r>
        <w:rPr>
          <w:b/>
        </w:rPr>
        <w:t xml:space="preserve">  </w:t>
      </w:r>
      <w:r>
        <w:t xml:space="preserve"> </w:t>
      </w:r>
    </w:p>
    <w:p w14:paraId="48A38628" w14:textId="76262116" w:rsidR="00BD315C" w:rsidRDefault="00586211">
      <w:pPr>
        <w:tabs>
          <w:tab w:val="center" w:pos="1401"/>
          <w:tab w:val="center" w:pos="2881"/>
          <w:tab w:val="center" w:pos="3601"/>
          <w:tab w:val="center" w:pos="4506"/>
          <w:tab w:val="center" w:pos="5761"/>
          <w:tab w:val="center" w:pos="6481"/>
          <w:tab w:val="center" w:pos="7409"/>
        </w:tabs>
        <w:ind w:left="-15" w:right="0" w:firstLine="0"/>
      </w:pPr>
      <w:r>
        <w:rPr>
          <w:rFonts w:ascii="Calibri" w:eastAsia="Calibri" w:hAnsi="Calibri" w:cs="Calibri"/>
          <w:sz w:val="22"/>
        </w:rPr>
        <w:t xml:space="preserve"> </w:t>
      </w:r>
      <w:r>
        <w:rPr>
          <w:rFonts w:ascii="Calibri" w:eastAsia="Calibri" w:hAnsi="Calibri" w:cs="Calibri"/>
          <w:sz w:val="22"/>
        </w:rPr>
        <w:tab/>
      </w:r>
      <w:r>
        <w:t>Small Cap Value</w:t>
      </w:r>
      <w:r>
        <w:rPr>
          <w:b/>
        </w:rPr>
        <w:t xml:space="preserve">       </w:t>
      </w:r>
      <w:r w:rsidR="00762A87">
        <w:rPr>
          <w:b/>
        </w:rPr>
        <w:tab/>
      </w:r>
      <w:r w:rsidR="00762A87">
        <w:rPr>
          <w:b/>
        </w:rPr>
        <w:tab/>
      </w:r>
      <w:r w:rsidR="00762A87">
        <w:rPr>
          <w:b/>
        </w:rPr>
        <w:tab/>
        <w:t xml:space="preserve"> </w:t>
      </w:r>
      <w:r w:rsidR="00762A87">
        <w:t>8.5</w:t>
      </w:r>
      <w:r>
        <w:t xml:space="preserve">%        </w:t>
      </w:r>
      <w:proofErr w:type="gramStart"/>
      <w:r>
        <w:tab/>
        <w:t xml:space="preserve">  </w:t>
      </w:r>
      <w:r>
        <w:tab/>
      </w:r>
      <w:proofErr w:type="gramEnd"/>
      <w:r>
        <w:t xml:space="preserve">  </w:t>
      </w:r>
      <w:r>
        <w:tab/>
        <w:t xml:space="preserve">VBR  </w:t>
      </w:r>
    </w:p>
    <w:p w14:paraId="445E98F4" w14:textId="24411A6B" w:rsidR="00BD315C" w:rsidRDefault="00586211">
      <w:pPr>
        <w:tabs>
          <w:tab w:val="center" w:pos="1215"/>
          <w:tab w:val="center" w:pos="2881"/>
          <w:tab w:val="center" w:pos="3601"/>
          <w:tab w:val="center" w:pos="4505"/>
          <w:tab w:val="center" w:pos="5761"/>
          <w:tab w:val="center" w:pos="6481"/>
          <w:tab w:val="center" w:pos="7408"/>
        </w:tabs>
        <w:ind w:left="-15" w:right="0" w:firstLine="0"/>
      </w:pPr>
      <w:r>
        <w:rPr>
          <w:rFonts w:ascii="Calibri" w:eastAsia="Calibri" w:hAnsi="Calibri" w:cs="Calibri"/>
          <w:sz w:val="22"/>
        </w:rPr>
        <w:t xml:space="preserve"> </w:t>
      </w:r>
      <w:r>
        <w:rPr>
          <w:rFonts w:ascii="Calibri" w:eastAsia="Calibri" w:hAnsi="Calibri" w:cs="Calibri"/>
          <w:sz w:val="22"/>
        </w:rPr>
        <w:tab/>
      </w:r>
      <w:r>
        <w:t xml:space="preserve">International        </w:t>
      </w:r>
      <w:proofErr w:type="gramStart"/>
      <w:r>
        <w:tab/>
        <w:t xml:space="preserve">  </w:t>
      </w:r>
      <w:r>
        <w:tab/>
      </w:r>
      <w:proofErr w:type="gramEnd"/>
      <w:r>
        <w:t xml:space="preserve">  </w:t>
      </w:r>
      <w:r>
        <w:tab/>
        <w:t xml:space="preserve"> 1</w:t>
      </w:r>
      <w:r w:rsidR="00762A87">
        <w:t>2</w:t>
      </w:r>
      <w:r>
        <w:t xml:space="preserve">%       </w:t>
      </w:r>
      <w:r>
        <w:tab/>
        <w:t xml:space="preserve">  </w:t>
      </w:r>
      <w:r>
        <w:tab/>
        <w:t xml:space="preserve">  </w:t>
      </w:r>
      <w:r>
        <w:tab/>
        <w:t xml:space="preserve">VEU   </w:t>
      </w:r>
    </w:p>
    <w:p w14:paraId="7C1E9C1B" w14:textId="49BE33E1" w:rsidR="00BD315C" w:rsidRDefault="00586211">
      <w:pPr>
        <w:tabs>
          <w:tab w:val="center" w:pos="1466"/>
          <w:tab w:val="center" w:pos="2881"/>
          <w:tab w:val="center" w:pos="3601"/>
          <w:tab w:val="center" w:pos="4509"/>
          <w:tab w:val="center" w:pos="5041"/>
          <w:tab w:val="center" w:pos="5761"/>
          <w:tab w:val="center" w:pos="6481"/>
          <w:tab w:val="center" w:pos="7444"/>
        </w:tabs>
        <w:ind w:left="-15" w:right="0" w:firstLine="0"/>
      </w:pPr>
      <w:r>
        <w:rPr>
          <w:rFonts w:ascii="Calibri" w:eastAsia="Calibri" w:hAnsi="Calibri" w:cs="Calibri"/>
          <w:sz w:val="22"/>
        </w:rPr>
        <w:t xml:space="preserve">  </w:t>
      </w:r>
      <w:r>
        <w:rPr>
          <w:rFonts w:ascii="Calibri" w:eastAsia="Calibri" w:hAnsi="Calibri" w:cs="Calibri"/>
          <w:sz w:val="22"/>
        </w:rPr>
        <w:tab/>
      </w:r>
      <w:r>
        <w:t xml:space="preserve">Emerging Markets    </w:t>
      </w:r>
      <w:r>
        <w:tab/>
        <w:t xml:space="preserve">   </w:t>
      </w:r>
      <w:r>
        <w:tab/>
        <w:t xml:space="preserve">   </w:t>
      </w:r>
      <w:r w:rsidRPr="005D6D91">
        <w:rPr>
          <w:u w:val="single"/>
        </w:rPr>
        <w:tab/>
      </w:r>
      <w:r w:rsidR="00762A87">
        <w:rPr>
          <w:u w:val="single"/>
        </w:rPr>
        <w:t>14</w:t>
      </w:r>
      <w:r w:rsidRPr="005D6D91">
        <w:rPr>
          <w:u w:val="single" w:color="000000"/>
        </w:rPr>
        <w:t>%</w:t>
      </w:r>
      <w:r>
        <w:rPr>
          <w:u w:val="single" w:color="000000"/>
        </w:rPr>
        <w:t xml:space="preserve"> </w:t>
      </w:r>
      <w:r>
        <w:t xml:space="preserve">   </w:t>
      </w:r>
      <w:r>
        <w:tab/>
        <w:t xml:space="preserve">   </w:t>
      </w:r>
      <w:r>
        <w:tab/>
        <w:t xml:space="preserve">   </w:t>
      </w:r>
      <w:r>
        <w:tab/>
        <w:t xml:space="preserve">   </w:t>
      </w:r>
      <w:r>
        <w:tab/>
        <w:t>VWO</w:t>
      </w:r>
      <w:r>
        <w:rPr>
          <w:b/>
        </w:rPr>
        <w:t xml:space="preserve"> </w:t>
      </w:r>
      <w:r>
        <w:t xml:space="preserve">  </w:t>
      </w:r>
    </w:p>
    <w:p w14:paraId="3D57C559" w14:textId="462E794E" w:rsidR="00BD315C" w:rsidRDefault="00586211">
      <w:pPr>
        <w:tabs>
          <w:tab w:val="center" w:pos="720"/>
          <w:tab w:val="center" w:pos="1826"/>
          <w:tab w:val="center" w:pos="2881"/>
          <w:tab w:val="center" w:pos="3601"/>
          <w:tab w:val="center" w:pos="4554"/>
        </w:tabs>
        <w:ind w:left="-15" w:right="0" w:firstLine="0"/>
      </w:pPr>
      <w:r>
        <w:rPr>
          <w:rFonts w:ascii="Calibri" w:eastAsia="Calibri" w:hAnsi="Calibri" w:cs="Calibri"/>
          <w:sz w:val="22"/>
        </w:rPr>
        <w:t xml:space="preserve">  </w:t>
      </w:r>
      <w:r>
        <w:rPr>
          <w:rFonts w:ascii="Calibri" w:eastAsia="Calibri" w:hAnsi="Calibri" w:cs="Calibri"/>
          <w:sz w:val="22"/>
        </w:rPr>
        <w:tab/>
      </w:r>
      <w:r>
        <w:t xml:space="preserve">   </w:t>
      </w:r>
      <w:r>
        <w:tab/>
        <w:t xml:space="preserve">       Total   </w:t>
      </w:r>
      <w:r>
        <w:tab/>
        <w:t xml:space="preserve">   </w:t>
      </w:r>
      <w:r>
        <w:tab/>
        <w:t xml:space="preserve">   </w:t>
      </w:r>
      <w:r w:rsidR="00762A87">
        <w:tab/>
      </w:r>
      <w:r>
        <w:t xml:space="preserve">100%   </w:t>
      </w:r>
    </w:p>
    <w:p w14:paraId="6B3AC5D0" w14:textId="77777777" w:rsidR="00BD315C" w:rsidRDefault="00586211">
      <w:pPr>
        <w:spacing w:after="61" w:line="259" w:lineRule="auto"/>
        <w:ind w:left="0" w:right="0" w:firstLine="0"/>
      </w:pPr>
      <w:r>
        <w:t xml:space="preserve">   </w:t>
      </w:r>
    </w:p>
    <w:p w14:paraId="48C3BEA3" w14:textId="77777777" w:rsidR="00BD315C" w:rsidRDefault="00586211">
      <w:pPr>
        <w:pStyle w:val="Heading1"/>
        <w:ind w:left="676" w:hanging="360"/>
      </w:pPr>
      <w:r>
        <w:t xml:space="preserve">Allocation Adjustments   </w:t>
      </w:r>
    </w:p>
    <w:p w14:paraId="187559A5" w14:textId="77777777" w:rsidR="00BD315C" w:rsidRDefault="00586211">
      <w:pPr>
        <w:spacing w:after="37" w:line="259" w:lineRule="auto"/>
        <w:ind w:left="720" w:right="0" w:firstLine="0"/>
      </w:pPr>
      <w:r>
        <w:rPr>
          <w:b/>
        </w:rPr>
        <w:t xml:space="preserve"> </w:t>
      </w:r>
      <w:r>
        <w:t xml:space="preserve">  </w:t>
      </w:r>
    </w:p>
    <w:p w14:paraId="68FCCE07" w14:textId="40F51347" w:rsidR="00BD315C" w:rsidRDefault="00586211">
      <w:pPr>
        <w:numPr>
          <w:ilvl w:val="0"/>
          <w:numId w:val="1"/>
        </w:numPr>
        <w:spacing w:after="41"/>
        <w:ind w:right="0" w:hanging="360"/>
      </w:pPr>
      <w:r>
        <w:t>Annual review of portfolio asset allocation occurs at the October meeting</w:t>
      </w:r>
      <w:proofErr w:type="gramStart"/>
      <w:r>
        <w:t xml:space="preserve">.  </w:t>
      </w:r>
      <w:proofErr w:type="gramEnd"/>
      <w:r>
        <w:t xml:space="preserve">This review includes investment asset classes and asset percent allocations. Changes can be </w:t>
      </w:r>
      <w:proofErr w:type="gramStart"/>
      <w:r>
        <w:t>made</w:t>
      </w:r>
      <w:proofErr w:type="gramEnd"/>
      <w:r>
        <w:t xml:space="preserve"> or allocations</w:t>
      </w:r>
      <w:r>
        <w:t xml:space="preserve"> can stay as is for another year. </w:t>
      </w:r>
    </w:p>
    <w:p w14:paraId="4578E07F" w14:textId="77777777" w:rsidR="00BD315C" w:rsidRDefault="00586211">
      <w:pPr>
        <w:numPr>
          <w:ilvl w:val="0"/>
          <w:numId w:val="1"/>
        </w:numPr>
        <w:ind w:right="0" w:hanging="360"/>
      </w:pPr>
      <w:r>
        <w:t>Review of portfolio at monthly meet</w:t>
      </w:r>
      <w:r>
        <w:t>ing (via portfolio worksheet)</w:t>
      </w:r>
      <w:proofErr w:type="gramStart"/>
      <w:r>
        <w:t xml:space="preserve">.  </w:t>
      </w:r>
      <w:proofErr w:type="gramEnd"/>
      <w:r>
        <w:t xml:space="preserve"> </w:t>
      </w:r>
    </w:p>
    <w:p w14:paraId="1C662F1F" w14:textId="5964394C" w:rsidR="00BD315C" w:rsidRDefault="00586211" w:rsidP="00586211">
      <w:pPr>
        <w:numPr>
          <w:ilvl w:val="1"/>
          <w:numId w:val="1"/>
        </w:numPr>
        <w:spacing w:after="0" w:line="259" w:lineRule="auto"/>
        <w:ind w:left="1592" w:right="63" w:hanging="166"/>
      </w:pPr>
      <w:r>
        <w:t xml:space="preserve">Use portfolio worksheet to determine asset class(es) to purchase and dollar amount of each asset:  </w:t>
      </w:r>
      <w:hyperlink r:id="rId5" w:history="1">
        <w:r w:rsidRPr="00586211">
          <w:rPr>
            <w:rStyle w:val="Hyperlink"/>
            <w:sz w:val="24"/>
            <w:szCs w:val="28"/>
          </w:rPr>
          <w:t>TPC Portfolio Worksheet</w:t>
        </w:r>
      </w:hyperlink>
      <w:r w:rsidRPr="00586211">
        <w:rPr>
          <w:sz w:val="24"/>
          <w:szCs w:val="28"/>
        </w:rPr>
        <w:t>.</w:t>
      </w:r>
      <w:r>
        <w:t xml:space="preserve"> </w:t>
      </w:r>
      <w:r>
        <w:t xml:space="preserve">Purchases are made in order from </w:t>
      </w:r>
      <w:r w:rsidRPr="00586211">
        <w:rPr>
          <w:u w:val="single" w:color="000000"/>
        </w:rPr>
        <w:t>most</w:t>
      </w:r>
      <w:r>
        <w:t xml:space="preserve"> underweight to </w:t>
      </w:r>
      <w:r w:rsidRPr="00586211">
        <w:rPr>
          <w:u w:val="single" w:color="000000"/>
        </w:rPr>
        <w:t>least</w:t>
      </w:r>
      <w:r>
        <w:t xml:space="preserve"> underweight</w:t>
      </w:r>
      <w:proofErr w:type="gramStart"/>
      <w:r>
        <w:t xml:space="preserve">.  </w:t>
      </w:r>
      <w:proofErr w:type="gramEnd"/>
      <w:r>
        <w:t xml:space="preserve"> </w:t>
      </w:r>
    </w:p>
    <w:p w14:paraId="172A7B40" w14:textId="77777777" w:rsidR="00BD315C" w:rsidRDefault="00586211">
      <w:pPr>
        <w:numPr>
          <w:ilvl w:val="1"/>
          <w:numId w:val="1"/>
        </w:numPr>
        <w:ind w:left="1592" w:right="63" w:hanging="166"/>
      </w:pPr>
      <w:r>
        <w:t xml:space="preserve">Any withdrawals are first paid from monthly investments. If this is insufficient to meet the withdrawal need additional funds are withdrawn from </w:t>
      </w:r>
      <w:r>
        <w:rPr>
          <w:u w:val="single" w:color="000000"/>
        </w:rPr>
        <w:t>most</w:t>
      </w:r>
      <w:r>
        <w:t xml:space="preserve"> overweight to </w:t>
      </w:r>
      <w:r>
        <w:rPr>
          <w:u w:val="single" w:color="000000"/>
        </w:rPr>
        <w:t>least</w:t>
      </w:r>
      <w:r>
        <w:t xml:space="preserve"> </w:t>
      </w:r>
      <w:r>
        <w:t>overweight with no asset dropping below its target allocation</w:t>
      </w:r>
      <w:proofErr w:type="gramStart"/>
      <w:r>
        <w:t xml:space="preserve">.  </w:t>
      </w:r>
      <w:proofErr w:type="gramEnd"/>
      <w:r>
        <w:t xml:space="preserve"> </w:t>
      </w:r>
    </w:p>
    <w:p w14:paraId="53C70890" w14:textId="77777777" w:rsidR="00BD315C" w:rsidRDefault="00586211">
      <w:pPr>
        <w:spacing w:after="56" w:line="259" w:lineRule="auto"/>
        <w:ind w:left="1440" w:right="0" w:firstLine="0"/>
      </w:pPr>
      <w:r>
        <w:t xml:space="preserve">   </w:t>
      </w:r>
    </w:p>
    <w:p w14:paraId="15A04CA3" w14:textId="77777777" w:rsidR="00BD315C" w:rsidRDefault="00586211">
      <w:pPr>
        <w:pStyle w:val="Heading1"/>
        <w:ind w:left="676" w:hanging="360"/>
      </w:pPr>
      <w:r>
        <w:t xml:space="preserve">Investment Logistics   </w:t>
      </w:r>
    </w:p>
    <w:p w14:paraId="41A8D844" w14:textId="77777777" w:rsidR="00BD315C" w:rsidRDefault="00586211">
      <w:pPr>
        <w:spacing w:after="37" w:line="259" w:lineRule="auto"/>
        <w:ind w:left="720" w:right="0" w:firstLine="0"/>
      </w:pPr>
      <w:r>
        <w:rPr>
          <w:b/>
        </w:rPr>
        <w:t xml:space="preserve"> </w:t>
      </w:r>
      <w:r>
        <w:t xml:space="preserve">  </w:t>
      </w:r>
    </w:p>
    <w:p w14:paraId="057D7462" w14:textId="77777777" w:rsidR="00BD315C" w:rsidRDefault="00586211">
      <w:pPr>
        <w:numPr>
          <w:ilvl w:val="0"/>
          <w:numId w:val="2"/>
        </w:numPr>
        <w:spacing w:after="35"/>
        <w:ind w:right="0" w:hanging="360"/>
      </w:pPr>
      <w:r>
        <w:t xml:space="preserve">Accounting System:  </w:t>
      </w:r>
      <w:proofErr w:type="spellStart"/>
      <w:r>
        <w:t>Bivio</w:t>
      </w:r>
      <w:proofErr w:type="spellEnd"/>
      <w:r>
        <w:t xml:space="preserve"> ($179 per year)   </w:t>
      </w:r>
    </w:p>
    <w:p w14:paraId="38E6989C" w14:textId="77777777" w:rsidR="00BD315C" w:rsidRDefault="00586211">
      <w:pPr>
        <w:numPr>
          <w:ilvl w:val="0"/>
          <w:numId w:val="2"/>
        </w:numPr>
        <w:spacing w:after="35"/>
        <w:ind w:right="0" w:hanging="360"/>
      </w:pPr>
      <w:r>
        <w:t xml:space="preserve">Checking Account:  </w:t>
      </w:r>
      <w:proofErr w:type="spellStart"/>
      <w:r>
        <w:t>dfcu</w:t>
      </w:r>
      <w:proofErr w:type="spellEnd"/>
      <w:r>
        <w:t xml:space="preserve"> Financial (free business checking)   </w:t>
      </w:r>
    </w:p>
    <w:p w14:paraId="01797DAE" w14:textId="77777777" w:rsidR="00BD315C" w:rsidRDefault="00586211">
      <w:pPr>
        <w:numPr>
          <w:ilvl w:val="0"/>
          <w:numId w:val="2"/>
        </w:numPr>
        <w:ind w:right="0" w:hanging="360"/>
      </w:pPr>
      <w:r>
        <w:t>Brokerage:  Vanguard (commission free Vanguard ETFs</w:t>
      </w:r>
      <w:r>
        <w:t xml:space="preserve">)  </w:t>
      </w:r>
    </w:p>
    <w:p w14:paraId="2CD729FE" w14:textId="77777777" w:rsidR="00BD315C" w:rsidRDefault="00586211">
      <w:pPr>
        <w:spacing w:after="53" w:line="259" w:lineRule="auto"/>
        <w:ind w:left="1080" w:right="0" w:firstLine="0"/>
      </w:pPr>
      <w:r>
        <w:t xml:space="preserve">   </w:t>
      </w:r>
    </w:p>
    <w:p w14:paraId="5572CE70" w14:textId="77777777" w:rsidR="00BD315C" w:rsidRDefault="00586211">
      <w:pPr>
        <w:pStyle w:val="Heading1"/>
        <w:ind w:left="676" w:hanging="360"/>
      </w:pPr>
      <w:r>
        <w:t xml:space="preserve">Club Officers   </w:t>
      </w:r>
    </w:p>
    <w:p w14:paraId="306689E0" w14:textId="77777777" w:rsidR="00BD315C" w:rsidRDefault="00586211">
      <w:pPr>
        <w:spacing w:after="0" w:line="259" w:lineRule="auto"/>
        <w:ind w:left="720" w:right="0" w:firstLine="0"/>
      </w:pPr>
      <w:r>
        <w:rPr>
          <w:b/>
        </w:rPr>
        <w:t xml:space="preserve"> </w:t>
      </w:r>
      <w:r>
        <w:t xml:space="preserve">  </w:t>
      </w:r>
    </w:p>
    <w:p w14:paraId="68C416D0" w14:textId="77777777" w:rsidR="00BD315C" w:rsidRDefault="00586211">
      <w:pPr>
        <w:ind w:left="716" w:right="0"/>
      </w:pPr>
      <w:r>
        <w:t xml:space="preserve">Officers are changed after every </w:t>
      </w:r>
      <w:r>
        <w:rPr>
          <w:u w:val="single" w:color="000000"/>
        </w:rPr>
        <w:t>July</w:t>
      </w:r>
      <w:r>
        <w:t xml:space="preserve"> </w:t>
      </w:r>
      <w:r>
        <w:t>meeting. There are no elections. Partners assume office in the order they join the club. Partners progress from general partner to Secretary to Treasurer to Vice President to President then back to general partner</w:t>
      </w:r>
      <w:proofErr w:type="gramStart"/>
      <w:r>
        <w:t>.</w:t>
      </w:r>
      <w:r>
        <w:rPr>
          <w:b/>
        </w:rPr>
        <w:t xml:space="preserve"> </w:t>
      </w:r>
      <w:r>
        <w:t xml:space="preserve"> </w:t>
      </w:r>
      <w:proofErr w:type="gramEnd"/>
      <w:r>
        <w:t xml:space="preserve"> </w:t>
      </w:r>
    </w:p>
    <w:p w14:paraId="45AC0B7E" w14:textId="01E0E72F" w:rsidR="00BD315C" w:rsidRDefault="00586211">
      <w:pPr>
        <w:spacing w:after="1" w:line="259" w:lineRule="auto"/>
        <w:ind w:left="360" w:right="0" w:firstLine="0"/>
      </w:pPr>
      <w:r>
        <w:rPr>
          <w:b/>
        </w:rPr>
        <w:t xml:space="preserve"> </w:t>
      </w:r>
      <w:r>
        <w:t xml:space="preserve">  </w:t>
      </w:r>
    </w:p>
    <w:p w14:paraId="2C11A2BC" w14:textId="3B9CC3AB" w:rsidR="00586211" w:rsidRDefault="00586211">
      <w:pPr>
        <w:spacing w:after="1" w:line="259" w:lineRule="auto"/>
        <w:ind w:left="360" w:right="0" w:firstLine="0"/>
      </w:pPr>
    </w:p>
    <w:p w14:paraId="080B388A" w14:textId="3184A933" w:rsidR="00586211" w:rsidRDefault="00586211">
      <w:pPr>
        <w:spacing w:after="1" w:line="259" w:lineRule="auto"/>
        <w:ind w:left="360" w:right="0" w:firstLine="0"/>
      </w:pPr>
    </w:p>
    <w:p w14:paraId="495BE3AA" w14:textId="6539DE4D" w:rsidR="00586211" w:rsidRDefault="00586211">
      <w:pPr>
        <w:spacing w:after="1" w:line="259" w:lineRule="auto"/>
        <w:ind w:left="360" w:right="0" w:firstLine="0"/>
      </w:pPr>
    </w:p>
    <w:p w14:paraId="10FE39D9" w14:textId="77777777" w:rsidR="00290531" w:rsidRDefault="00586211" w:rsidP="00586211">
      <w:pPr>
        <w:spacing w:after="3" w:line="259" w:lineRule="auto"/>
        <w:ind w:left="0" w:right="0" w:firstLine="0"/>
      </w:pPr>
      <w:r>
        <w:t xml:space="preserve"> </w:t>
      </w:r>
    </w:p>
    <w:p w14:paraId="1AF3EFF0" w14:textId="4E58D520" w:rsidR="00BD315C" w:rsidRDefault="00586211" w:rsidP="00586211">
      <w:pPr>
        <w:spacing w:after="3" w:line="259" w:lineRule="auto"/>
        <w:ind w:right="0"/>
      </w:pPr>
      <w:r>
        <w:t xml:space="preserve">Original:  July 16, </w:t>
      </w:r>
      <w:proofErr w:type="gramStart"/>
      <w:r>
        <w:t>2008</w:t>
      </w:r>
      <w:proofErr w:type="gramEnd"/>
      <w:r>
        <w:tab/>
      </w:r>
      <w:r>
        <w:tab/>
      </w:r>
      <w:r>
        <w:tab/>
      </w:r>
      <w:r>
        <w:tab/>
      </w:r>
      <w:r>
        <w:tab/>
      </w:r>
      <w:r>
        <w:tab/>
      </w:r>
      <w:r>
        <w:rPr>
          <w:b/>
          <w:shd w:val="clear" w:color="auto" w:fill="FFFF00"/>
        </w:rPr>
        <w:t>L</w:t>
      </w:r>
      <w:r>
        <w:rPr>
          <w:b/>
          <w:shd w:val="clear" w:color="auto" w:fill="FFFF00"/>
        </w:rPr>
        <w:t xml:space="preserve">ast Updated: </w:t>
      </w:r>
      <w:r w:rsidR="00290531">
        <w:rPr>
          <w:b/>
          <w:shd w:val="clear" w:color="auto" w:fill="FFFF00"/>
        </w:rPr>
        <w:t>November 6, 2021</w:t>
      </w:r>
    </w:p>
    <w:sectPr w:rsidR="00BD315C">
      <w:pgSz w:w="12240" w:h="15840"/>
      <w:pgMar w:top="1440" w:right="169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775FB"/>
    <w:multiLevelType w:val="hybridMultilevel"/>
    <w:tmpl w:val="E4F4E966"/>
    <w:lvl w:ilvl="0" w:tplc="B2B68CAA">
      <w:start w:val="1"/>
      <w:numFmt w:val="lowerLetter"/>
      <w:lvlText w:val="%1."/>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AEA19B6">
      <w:start w:val="1"/>
      <w:numFmt w:val="bullet"/>
      <w:lvlText w:val="-"/>
      <w:lvlJc w:val="left"/>
      <w:pPr>
        <w:ind w:left="15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7AD7A2">
      <w:start w:val="1"/>
      <w:numFmt w:val="bullet"/>
      <w:lvlText w:val="▪"/>
      <w:lvlJc w:val="left"/>
      <w:pPr>
        <w:ind w:left="2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CEA8C50">
      <w:start w:val="1"/>
      <w:numFmt w:val="bullet"/>
      <w:lvlText w:val="•"/>
      <w:lvlJc w:val="left"/>
      <w:pPr>
        <w:ind w:left="2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C44B76">
      <w:start w:val="1"/>
      <w:numFmt w:val="bullet"/>
      <w:lvlText w:val="o"/>
      <w:lvlJc w:val="left"/>
      <w:pPr>
        <w:ind w:left="3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C02EDC">
      <w:start w:val="1"/>
      <w:numFmt w:val="bullet"/>
      <w:lvlText w:val="▪"/>
      <w:lvlJc w:val="left"/>
      <w:pPr>
        <w:ind w:left="43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6081AC8">
      <w:start w:val="1"/>
      <w:numFmt w:val="bullet"/>
      <w:lvlText w:val="•"/>
      <w:lvlJc w:val="left"/>
      <w:pPr>
        <w:ind w:left="50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6C18AE">
      <w:start w:val="1"/>
      <w:numFmt w:val="bullet"/>
      <w:lvlText w:val="o"/>
      <w:lvlJc w:val="left"/>
      <w:pPr>
        <w:ind w:left="57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6C54C4">
      <w:start w:val="1"/>
      <w:numFmt w:val="bullet"/>
      <w:lvlText w:val="▪"/>
      <w:lvlJc w:val="left"/>
      <w:pPr>
        <w:ind w:left="64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6AD5936"/>
    <w:multiLevelType w:val="hybridMultilevel"/>
    <w:tmpl w:val="4C722F86"/>
    <w:lvl w:ilvl="0" w:tplc="97E6D01E">
      <w:start w:val="1"/>
      <w:numFmt w:val="lowerLetter"/>
      <w:lvlText w:val="%1."/>
      <w:lvlJc w:val="left"/>
      <w:pPr>
        <w:ind w:left="1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E8F6E8">
      <w:start w:val="1"/>
      <w:numFmt w:val="lowerLetter"/>
      <w:lvlText w:val="%2"/>
      <w:lvlJc w:val="left"/>
      <w:pPr>
        <w:ind w:left="1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6C42646">
      <w:start w:val="1"/>
      <w:numFmt w:val="lowerRoman"/>
      <w:lvlText w:val="%3"/>
      <w:lvlJc w:val="left"/>
      <w:pPr>
        <w:ind w:left="2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585D14">
      <w:start w:val="1"/>
      <w:numFmt w:val="decimal"/>
      <w:lvlText w:val="%4"/>
      <w:lvlJc w:val="left"/>
      <w:pPr>
        <w:ind w:left="3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628BC2">
      <w:start w:val="1"/>
      <w:numFmt w:val="lowerLetter"/>
      <w:lvlText w:val="%5"/>
      <w:lvlJc w:val="left"/>
      <w:pPr>
        <w:ind w:left="3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C49152">
      <w:start w:val="1"/>
      <w:numFmt w:val="lowerRoman"/>
      <w:lvlText w:val="%6"/>
      <w:lvlJc w:val="left"/>
      <w:pPr>
        <w:ind w:left="4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6E51E">
      <w:start w:val="1"/>
      <w:numFmt w:val="decimal"/>
      <w:lvlText w:val="%7"/>
      <w:lvlJc w:val="left"/>
      <w:pPr>
        <w:ind w:left="5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D4A4C6">
      <w:start w:val="1"/>
      <w:numFmt w:val="lowerLetter"/>
      <w:lvlText w:val="%8"/>
      <w:lvlJc w:val="left"/>
      <w:pPr>
        <w:ind w:left="6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50CC47E">
      <w:start w:val="1"/>
      <w:numFmt w:val="lowerRoman"/>
      <w:lvlText w:val="%9"/>
      <w:lvlJc w:val="left"/>
      <w:pPr>
        <w:ind w:left="6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29C45E9"/>
    <w:multiLevelType w:val="hybridMultilevel"/>
    <w:tmpl w:val="A330E828"/>
    <w:lvl w:ilvl="0" w:tplc="E7FA1FA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3B46CAC">
      <w:start w:val="1"/>
      <w:numFmt w:val="lowerLetter"/>
      <w:lvlText w:val="%2"/>
      <w:lvlJc w:val="left"/>
      <w:pPr>
        <w:ind w:left="14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F567834">
      <w:start w:val="1"/>
      <w:numFmt w:val="lowerRoman"/>
      <w:lvlText w:val="%3"/>
      <w:lvlJc w:val="left"/>
      <w:pPr>
        <w:ind w:left="21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16AFF90">
      <w:start w:val="1"/>
      <w:numFmt w:val="decimal"/>
      <w:lvlText w:val="%4"/>
      <w:lvlJc w:val="left"/>
      <w:pPr>
        <w:ind w:left="28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BFC642E">
      <w:start w:val="1"/>
      <w:numFmt w:val="lowerLetter"/>
      <w:lvlText w:val="%5"/>
      <w:lvlJc w:val="left"/>
      <w:pPr>
        <w:ind w:left="35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51E1462">
      <w:start w:val="1"/>
      <w:numFmt w:val="lowerRoman"/>
      <w:lvlText w:val="%6"/>
      <w:lvlJc w:val="left"/>
      <w:pPr>
        <w:ind w:left="42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58037BE">
      <w:start w:val="1"/>
      <w:numFmt w:val="decimal"/>
      <w:lvlText w:val="%7"/>
      <w:lvlJc w:val="left"/>
      <w:pPr>
        <w:ind w:left="50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320B1E8">
      <w:start w:val="1"/>
      <w:numFmt w:val="lowerLetter"/>
      <w:lvlText w:val="%8"/>
      <w:lvlJc w:val="left"/>
      <w:pPr>
        <w:ind w:left="57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140AB82">
      <w:start w:val="1"/>
      <w:numFmt w:val="lowerRoman"/>
      <w:lvlText w:val="%9"/>
      <w:lvlJc w:val="left"/>
      <w:pPr>
        <w:ind w:left="64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5C"/>
    <w:rsid w:val="00290531"/>
    <w:rsid w:val="00586211"/>
    <w:rsid w:val="005D6D91"/>
    <w:rsid w:val="00762A87"/>
    <w:rsid w:val="00BD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4282"/>
  <w15:docId w15:val="{6F5DFA5F-A518-4D86-B099-CB6B1781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1" w:lineRule="auto"/>
      <w:ind w:left="10" w:right="1037"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3"/>
      </w:numPr>
      <w:spacing w:after="0"/>
      <w:ind w:left="341"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styleId="Hyperlink">
    <w:name w:val="Hyperlink"/>
    <w:basedOn w:val="DefaultParagraphFont"/>
    <w:uiPriority w:val="99"/>
    <w:unhideWhenUsed/>
    <w:rsid w:val="00586211"/>
    <w:rPr>
      <w:color w:val="0563C1" w:themeColor="hyperlink"/>
      <w:u w:val="single"/>
    </w:rPr>
  </w:style>
  <w:style w:type="character" w:styleId="UnresolvedMention">
    <w:name w:val="Unresolved Mention"/>
    <w:basedOn w:val="DefaultParagraphFont"/>
    <w:uiPriority w:val="99"/>
    <w:semiHidden/>
    <w:unhideWhenUsed/>
    <w:rsid w:val="00586211"/>
    <w:rPr>
      <w:color w:val="605E5C"/>
      <w:shd w:val="clear" w:color="auto" w:fill="E1DFDD"/>
    </w:rPr>
  </w:style>
  <w:style w:type="character" w:styleId="FollowedHyperlink">
    <w:name w:val="FollowedHyperlink"/>
    <w:basedOn w:val="DefaultParagraphFont"/>
    <w:uiPriority w:val="99"/>
    <w:semiHidden/>
    <w:unhideWhenUsed/>
    <w:rsid w:val="005862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spreadsheets/d/1j4jKxPI5rqnW1hsBRrX63jzIZZ0Dl80ak9CXDc2lJDU/edit?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Investment Strategy.doc</dc:title>
  <dc:subject/>
  <dc:creator>jjanci</dc:creator>
  <cp:keywords/>
  <cp:lastModifiedBy>John Janci</cp:lastModifiedBy>
  <cp:revision>6</cp:revision>
  <dcterms:created xsi:type="dcterms:W3CDTF">2021-11-07T02:40:00Z</dcterms:created>
  <dcterms:modified xsi:type="dcterms:W3CDTF">2021-11-07T03:58:00Z</dcterms:modified>
</cp:coreProperties>
</file>